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themeColor="background1" w:themeShade="F2"/>
  <w:body>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bookmarkStart w:id="0" w:name="_Hlk54787995"/>
      <w:bookmarkEnd w:id="0"/>
      <w:bookmarkStart w:id="1" w:name="_Hlk110517226"/>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48"/>
          <w:szCs w:val="48"/>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48"/>
          <w:szCs w:val="48"/>
          <w14:textFill>
            <w14:solidFill>
              <w14:schemeClr w14:val="tx1">
                <w14:lumMod w14:val="75000"/>
                <w14:lumOff w14:val="25000"/>
              </w14:schemeClr>
            </w14:solidFill>
          </w14:textFill>
        </w:rPr>
        <w:t>筑工数科</w:t>
      </w:r>
    </w:p>
    <w:p>
      <w:pPr>
        <w:pStyle w:val="21"/>
        <w:jc w:val="center"/>
        <w:rPr>
          <w:rFonts w:ascii="华文细黑" w:hAnsi="华文细黑" w:eastAsia="华文细黑" w:cs="宋体"/>
          <w:color w:val="404040" w:themeColor="text1" w:themeTint="BF"/>
          <w:sz w:val="48"/>
          <w:szCs w:val="48"/>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48"/>
          <w:szCs w:val="48"/>
          <w14:textFill>
            <w14:solidFill>
              <w14:schemeClr w14:val="tx1">
                <w14:lumMod w14:val="75000"/>
                <w14:lumOff w14:val="25000"/>
              </w14:schemeClr>
            </w14:solidFill>
          </w14:textFill>
        </w:rPr>
        <w:t>个体户工具产品操作手册</w:t>
      </w:r>
    </w:p>
    <w:p>
      <w:pPr>
        <w:pStyle w:val="22"/>
        <w:framePr w:wrap="around" w:hAnchor="page" w:x="3931" w:y="3997"/>
        <w:pBdr>
          <w:top w:val="none" w:color="auto" w:sz="0" w:space="0"/>
          <w:left w:val="none" w:color="auto" w:sz="0" w:space="0"/>
          <w:bottom w:val="none" w:color="auto" w:sz="0" w:space="0"/>
          <w:right w:val="none" w:color="auto" w:sz="0" w:space="0"/>
        </w:pBd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项目：           </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个体户工具1</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.0                                                             </w:t>
      </w:r>
    </w:p>
    <w:p>
      <w:pPr>
        <w:pStyle w:val="22"/>
        <w:framePr w:wrap="around" w:hAnchor="page" w:x="3931" w:y="3997"/>
        <w:pBdr>
          <w:top w:val="none" w:color="auto" w:sz="0" w:space="0"/>
          <w:left w:val="none" w:color="auto" w:sz="0" w:space="0"/>
          <w:bottom w:val="none" w:color="auto" w:sz="0" w:space="0"/>
          <w:right w:val="none" w:color="auto" w:sz="0" w:space="0"/>
        </w:pBd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密级：    </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公开</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p>
    <w:p>
      <w:pPr>
        <w:pStyle w:val="22"/>
        <w:framePr w:wrap="around" w:hAnchor="page" w:x="3931" w:y="3997"/>
        <w:pBdr>
          <w:top w:val="none" w:color="auto" w:sz="0" w:space="0"/>
          <w:left w:val="none" w:color="auto" w:sz="0" w:space="0"/>
          <w:bottom w:val="none" w:color="auto" w:sz="0" w:space="0"/>
          <w:right w:val="none" w:color="auto" w:sz="0" w:space="0"/>
        </w:pBd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版本：     </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V1.0                  </w:t>
      </w:r>
    </w:p>
    <w:p>
      <w:pPr>
        <w:pStyle w:val="22"/>
        <w:framePr w:wrap="around" w:hAnchor="page" w:x="3931" w:y="3997"/>
        <w:pBdr>
          <w:top w:val="none" w:color="auto" w:sz="0" w:space="0"/>
          <w:left w:val="none" w:color="auto" w:sz="0" w:space="0"/>
          <w:bottom w:val="none" w:color="auto" w:sz="0" w:space="0"/>
          <w:right w:val="none" w:color="auto" w:sz="0" w:space="0"/>
        </w:pBd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日期：   </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202</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2</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年</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07</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月</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12</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日         </w:t>
      </w:r>
      <w:r>
        <w:rPr>
          <w:rFonts w:hint="eastAsia" w:ascii="华文细黑" w:hAnsi="华文细黑" w:eastAsia="华文细黑" w:cs="宋体"/>
          <w:color w:val="404040" w:themeColor="text1" w:themeTint="BF"/>
          <w:sz w:val="20"/>
          <w:szCs w:val="20"/>
          <w:u w:val="single"/>
          <w14:textFill>
            <w14:solidFill>
              <w14:schemeClr w14:val="tx1">
                <w14:lumMod w14:val="75000"/>
                <w14:lumOff w14:val="25000"/>
              </w14:schemeClr>
            </w14:solidFill>
          </w14:textFill>
        </w:rPr>
        <w:t xml:space="preserve">              </w:t>
      </w:r>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sectPr>
          <w:pgSz w:w="11906" w:h="16838"/>
          <w:pgMar w:top="1440" w:right="1797" w:bottom="1440" w:left="1797" w:header="851" w:footer="992" w:gutter="0"/>
          <w:cols w:space="720" w:num="1"/>
          <w:docGrid w:type="lines" w:linePitch="312" w:charSpace="0"/>
        </w:sectPr>
      </w:pPr>
    </w:p>
    <w:p>
      <w:pPr>
        <w:pStyle w:val="9"/>
        <w:ind w:left="0"/>
        <w:rPr>
          <w:rFonts w:ascii="华文细黑" w:hAnsi="华文细黑" w:eastAsia="华文细黑" w:cs="宋体"/>
          <w:b/>
          <w:color w:val="404040" w:themeColor="text1" w:themeTint="BF"/>
          <w:sz w:val="20"/>
          <w:szCs w:val="20"/>
          <w14:textFill>
            <w14:solidFill>
              <w14:schemeClr w14:val="tx1">
                <w14:lumMod w14:val="75000"/>
                <w14:lumOff w14:val="25000"/>
              </w14:schemeClr>
            </w14:solidFill>
          </w14:textFill>
        </w:rPr>
      </w:pPr>
      <w:bookmarkStart w:id="2" w:name="_Toc492288006"/>
      <w:bookmarkStart w:id="3" w:name="_Toc496602432"/>
      <w:bookmarkStart w:id="4" w:name="_Toc491858515"/>
      <w:bookmarkStart w:id="5" w:name="_Toc2059"/>
    </w:p>
    <w:sdt>
      <w:sdtPr>
        <w:rPr>
          <w:rFonts w:ascii="华文细黑" w:hAnsi="华文细黑" w:eastAsia="华文细黑" w:cs="Times New Roman"/>
          <w:color w:val="auto"/>
          <w:kern w:val="2"/>
          <w:sz w:val="21"/>
          <w:szCs w:val="24"/>
          <w:lang w:val="zh-CN"/>
        </w:rPr>
        <w:id w:val="-125467948"/>
        <w:docPartObj>
          <w:docPartGallery w:val="Table of Contents"/>
          <w:docPartUnique/>
        </w:docPartObj>
      </w:sdtPr>
      <w:sdtEndPr>
        <w:rPr>
          <w:rFonts w:ascii="华文细黑" w:hAnsi="华文细黑" w:eastAsia="华文细黑" w:cs="Times New Roman"/>
          <w:b/>
          <w:bCs/>
          <w:color w:val="auto"/>
          <w:kern w:val="2"/>
          <w:sz w:val="24"/>
          <w:szCs w:val="24"/>
          <w:lang w:val="zh-CN"/>
        </w:rPr>
      </w:sdtEndPr>
      <w:sdtContent>
        <w:p>
          <w:pPr>
            <w:pStyle w:val="25"/>
            <w:rPr>
              <w:rFonts w:ascii="华文细黑" w:hAnsi="华文细黑" w:eastAsia="华文细黑"/>
            </w:rPr>
          </w:pPr>
          <w:r>
            <w:rPr>
              <w:rFonts w:ascii="华文细黑" w:hAnsi="华文细黑" w:eastAsia="华文细黑"/>
              <w:lang w:val="zh-CN"/>
            </w:rPr>
            <w:t>目录</w:t>
          </w:r>
        </w:p>
        <w:p>
          <w:pPr>
            <w:pStyle w:val="8"/>
            <w:tabs>
              <w:tab w:val="right" w:leader="dot" w:pos="13130"/>
            </w:tabs>
          </w:pPr>
          <w:bookmarkStart w:id="52" w:name="_GoBack"/>
          <w:bookmarkEnd w:id="52"/>
          <w:r>
            <w:rPr>
              <w:rFonts w:ascii="华文细黑" w:hAnsi="华文细黑" w:eastAsia="华文细黑"/>
              <w:b w:val="0"/>
              <w:bCs w:val="0"/>
              <w:smallCaps/>
              <w:sz w:val="24"/>
            </w:rPr>
            <w:fldChar w:fldCharType="begin"/>
          </w:r>
          <w:r>
            <w:rPr>
              <w:rFonts w:ascii="华文细黑" w:hAnsi="华文细黑" w:eastAsia="华文细黑"/>
              <w:sz w:val="24"/>
            </w:rPr>
            <w:instrText xml:space="preserve"> TOC \o "1-3" \h \z \u </w:instrText>
          </w:r>
          <w:r>
            <w:rPr>
              <w:rFonts w:ascii="华文细黑" w:hAnsi="华文细黑" w:eastAsia="华文细黑"/>
              <w:b w:val="0"/>
              <w:bCs w:val="0"/>
              <w:smallCaps/>
              <w:sz w:val="24"/>
            </w:rPr>
            <w:fldChar w:fldCharType="separate"/>
          </w:r>
          <w:r>
            <w:rPr>
              <w:rFonts w:ascii="华文细黑" w:hAnsi="华文细黑" w:eastAsia="华文细黑"/>
              <w:bCs w:val="0"/>
              <w:smallCaps/>
            </w:rPr>
            <w:fldChar w:fldCharType="begin"/>
          </w:r>
          <w:r>
            <w:rPr>
              <w:rFonts w:ascii="华文细黑" w:hAnsi="华文细黑" w:eastAsia="华文细黑"/>
              <w:bCs w:val="0"/>
              <w:smallCaps/>
            </w:rPr>
            <w:instrText xml:space="preserve"> HYPERLINK \l _Toc15057 </w:instrText>
          </w:r>
          <w:r>
            <w:rPr>
              <w:rFonts w:ascii="华文细黑" w:hAnsi="华文细黑" w:eastAsia="华文细黑"/>
              <w:bCs w:val="0"/>
              <w:smallCaps/>
            </w:rPr>
            <w:fldChar w:fldCharType="separate"/>
          </w:r>
          <w:r>
            <w:rPr>
              <w:rFonts w:hint="eastAsia" w:ascii="华文细黑" w:hAnsi="华文细黑" w:eastAsia="华文细黑" w:cs="宋体"/>
              <w:color w:val="033261" w:themeColor="hyperlink" w:themeShade="80"/>
              <w:szCs w:val="40"/>
            </w:rPr>
            <w:t>1 引言</w:t>
          </w:r>
          <w:r>
            <w:tab/>
          </w:r>
          <w:r>
            <w:fldChar w:fldCharType="begin"/>
          </w:r>
          <w:r>
            <w:instrText xml:space="preserve"> PAGEREF _Toc15057 \h </w:instrText>
          </w:r>
          <w:r>
            <w:fldChar w:fldCharType="separate"/>
          </w:r>
          <w:r>
            <w:t>2</w:t>
          </w:r>
          <w:r>
            <w:fldChar w:fldCharType="end"/>
          </w:r>
          <w:r>
            <w:rPr>
              <w:rFonts w:ascii="华文细黑" w:hAnsi="华文细黑" w:eastAsia="华文细黑"/>
              <w:bCs w:val="0"/>
              <w:smallCaps/>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_Toc19469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1.1 编写目的</w:t>
          </w:r>
          <w:r>
            <w:tab/>
          </w:r>
          <w:r>
            <w:fldChar w:fldCharType="begin"/>
          </w:r>
          <w:r>
            <w:instrText xml:space="preserve"> PAGEREF _Toc19469 \h </w:instrText>
          </w:r>
          <w:r>
            <w:fldChar w:fldCharType="separate"/>
          </w:r>
          <w:r>
            <w:t>2</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_Toc10292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1.2 编辑历史</w:t>
          </w:r>
          <w:r>
            <w:tab/>
          </w:r>
          <w:r>
            <w:fldChar w:fldCharType="begin"/>
          </w:r>
          <w:r>
            <w:instrText xml:space="preserve"> PAGEREF _Toc10292 \h </w:instrText>
          </w:r>
          <w:r>
            <w:fldChar w:fldCharType="separate"/>
          </w:r>
          <w:r>
            <w:t>2</w:t>
          </w:r>
          <w:r>
            <w:fldChar w:fldCharType="end"/>
          </w:r>
          <w:r>
            <w:rPr>
              <w:rFonts w:ascii="华文细黑" w:hAnsi="华文细黑" w:eastAsia="华文细黑"/>
              <w:bCs/>
              <w:lang w:val="zh-CN"/>
            </w:rPr>
            <w:fldChar w:fldCharType="end"/>
          </w:r>
        </w:p>
        <w:p>
          <w:pPr>
            <w:pStyle w:val="8"/>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_Toc797 </w:instrText>
          </w:r>
          <w:r>
            <w:rPr>
              <w:rFonts w:ascii="华文细黑" w:hAnsi="华文细黑" w:eastAsia="华文细黑"/>
              <w:bCs/>
              <w:lang w:val="zh-CN"/>
            </w:rPr>
            <w:fldChar w:fldCharType="separate"/>
          </w:r>
          <w:r>
            <w:rPr>
              <w:rFonts w:hint="eastAsia" w:ascii="华文细黑" w:hAnsi="华文细黑" w:eastAsia="华文细黑" w:cs="宋体"/>
              <w:color w:val="033261" w:themeColor="hyperlink" w:themeShade="80"/>
              <w:szCs w:val="40"/>
            </w:rPr>
            <w:t>2 平台目标</w:t>
          </w:r>
          <w:r>
            <w:tab/>
          </w:r>
          <w:r>
            <w:fldChar w:fldCharType="begin"/>
          </w:r>
          <w:r>
            <w:instrText xml:space="preserve"> PAGEREF _Toc797 \h </w:instrText>
          </w:r>
          <w:r>
            <w:fldChar w:fldCharType="separate"/>
          </w:r>
          <w:r>
            <w:t>2</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_Toc1909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2.1 工具简介</w:t>
          </w:r>
          <w:r>
            <w:tab/>
          </w:r>
          <w:r>
            <w:fldChar w:fldCharType="begin"/>
          </w:r>
          <w:r>
            <w:instrText xml:space="preserve"> PAGEREF _Toc1909 \h </w:instrText>
          </w:r>
          <w:r>
            <w:fldChar w:fldCharType="separate"/>
          </w:r>
          <w:r>
            <w:t>2</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_Toc20901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2.2 核心功能</w:t>
          </w:r>
          <w:r>
            <w:tab/>
          </w:r>
          <w:r>
            <w:fldChar w:fldCharType="begin"/>
          </w:r>
          <w:r>
            <w:instrText xml:space="preserve"> PAGEREF _Toc20901 \h </w:instrText>
          </w:r>
          <w:r>
            <w:fldChar w:fldCharType="separate"/>
          </w:r>
          <w:r>
            <w:t>2</w:t>
          </w:r>
          <w:r>
            <w:fldChar w:fldCharType="end"/>
          </w:r>
          <w:r>
            <w:rPr>
              <w:rFonts w:ascii="华文细黑" w:hAnsi="华文细黑" w:eastAsia="华文细黑"/>
              <w:bCs/>
              <w:lang w:val="zh-CN"/>
            </w:rPr>
            <w:fldChar w:fldCharType="end"/>
          </w:r>
        </w:p>
        <w:p>
          <w:pPr>
            <w:pStyle w:val="8"/>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_Toc27166 </w:instrText>
          </w:r>
          <w:r>
            <w:rPr>
              <w:rFonts w:ascii="华文细黑" w:hAnsi="华文细黑" w:eastAsia="华文细黑"/>
              <w:bCs/>
              <w:lang w:val="zh-CN"/>
            </w:rPr>
            <w:fldChar w:fldCharType="separate"/>
          </w:r>
          <w:r>
            <w:rPr>
              <w:rFonts w:hint="eastAsia" w:ascii="华文细黑" w:hAnsi="华文细黑" w:eastAsia="华文细黑" w:cs="宋体"/>
              <w:color w:val="033261" w:themeColor="hyperlink" w:themeShade="80"/>
              <w:szCs w:val="40"/>
            </w:rPr>
            <w:t>3 运行环境</w:t>
          </w:r>
          <w:r>
            <w:tab/>
          </w:r>
          <w:r>
            <w:fldChar w:fldCharType="begin"/>
          </w:r>
          <w:r>
            <w:instrText xml:space="preserve"> PAGEREF _Toc27166 \h </w:instrText>
          </w:r>
          <w:r>
            <w:fldChar w:fldCharType="separate"/>
          </w:r>
          <w:r>
            <w:t>3</w:t>
          </w:r>
          <w:r>
            <w:fldChar w:fldCharType="end"/>
          </w:r>
          <w:r>
            <w:rPr>
              <w:rFonts w:ascii="华文细黑" w:hAnsi="华文细黑" w:eastAsia="华文细黑"/>
              <w:bCs/>
              <w:lang w:val="zh-CN"/>
            </w:rPr>
            <w:fldChar w:fldCharType="end"/>
          </w:r>
        </w:p>
        <w:p>
          <w:pPr>
            <w:pStyle w:val="8"/>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_Toc1415 </w:instrText>
          </w:r>
          <w:r>
            <w:rPr>
              <w:rFonts w:ascii="华文细黑" w:hAnsi="华文细黑" w:eastAsia="华文细黑"/>
              <w:bCs/>
              <w:lang w:val="zh-CN"/>
            </w:rPr>
            <w:fldChar w:fldCharType="separate"/>
          </w:r>
          <w:r>
            <w:rPr>
              <w:rFonts w:hint="eastAsia" w:ascii="华文细黑" w:hAnsi="华文细黑" w:eastAsia="华文细黑" w:cs="宋体"/>
              <w:color w:val="033261" w:themeColor="hyperlink" w:themeShade="80"/>
              <w:szCs w:val="40"/>
            </w:rPr>
            <w:t>4 使用说明</w:t>
          </w:r>
          <w:r>
            <w:tab/>
          </w:r>
          <w:r>
            <w:fldChar w:fldCharType="begin"/>
          </w:r>
          <w:r>
            <w:instrText xml:space="preserve"> PAGEREF _Toc1415 \h </w:instrText>
          </w:r>
          <w:r>
            <w:fldChar w:fldCharType="separate"/>
          </w:r>
          <w:r>
            <w:t>3</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_Toc26371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4.1 名词释义</w:t>
          </w:r>
          <w:r>
            <w:tab/>
          </w:r>
          <w:r>
            <w:fldChar w:fldCharType="begin"/>
          </w:r>
          <w:r>
            <w:instrText xml:space="preserve"> PAGEREF _Toc26371 \h </w:instrText>
          </w:r>
          <w:r>
            <w:fldChar w:fldCharType="separate"/>
          </w:r>
          <w:r>
            <w:t>3</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_Toc16598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4.2 个体户工具后台登陆</w:t>
          </w:r>
          <w:r>
            <w:tab/>
          </w:r>
          <w:r>
            <w:fldChar w:fldCharType="begin"/>
          </w:r>
          <w:r>
            <w:instrText xml:space="preserve"> PAGEREF _Toc16598 \h </w:instrText>
          </w:r>
          <w:r>
            <w:fldChar w:fldCharType="separate"/>
          </w:r>
          <w:r>
            <w:t>4</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_Toc11314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14:textFill>
                <w14:solidFill>
                  <w14:schemeClr w14:val="hlink">
                    <w14:lumMod w14:val="75000"/>
                    <w14:lumOff w14:val="25000"/>
                  </w14:schemeClr>
                </w14:solidFill>
              </w14:textFill>
            </w:rPr>
            <w:t>4.2.1 登录</w:t>
          </w:r>
          <w:r>
            <w:tab/>
          </w:r>
          <w:r>
            <w:fldChar w:fldCharType="begin"/>
          </w:r>
          <w:r>
            <w:instrText xml:space="preserve"> PAGEREF _Toc11314 \h </w:instrText>
          </w:r>
          <w:r>
            <w:fldChar w:fldCharType="separate"/>
          </w:r>
          <w:r>
            <w:t>4</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_Toc25745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 xml:space="preserve">4.3 </w:t>
          </w:r>
          <w:r>
            <w:rPr>
              <w:rFonts w:hint="eastAsia" w:ascii="华文细黑" w:hAnsi="华文细黑" w:eastAsia="华文细黑" w:cs="宋体"/>
              <w:color w:val="044A91" w:themeColor="hyperlink" w:themeShade="BF"/>
              <w:szCs w:val="28"/>
              <w:lang w:val="en-US" w:eastAsia="zh-CN"/>
            </w:rPr>
            <w:t>操作用户管理</w:t>
          </w:r>
          <w:r>
            <w:tab/>
          </w:r>
          <w:r>
            <w:fldChar w:fldCharType="begin"/>
          </w:r>
          <w:r>
            <w:instrText xml:space="preserve"> PAGEREF _Toc25745 \h </w:instrText>
          </w:r>
          <w:r>
            <w:fldChar w:fldCharType="separate"/>
          </w:r>
          <w:r>
            <w:t>5</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_Toc23886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 xml:space="preserve">4.4 </w:t>
          </w:r>
          <w:r>
            <w:rPr>
              <w:rFonts w:hint="eastAsia" w:ascii="华文细黑" w:hAnsi="华文细黑" w:eastAsia="华文细黑" w:cs="宋体"/>
              <w:color w:val="044A91" w:themeColor="hyperlink" w:themeShade="BF"/>
              <w:szCs w:val="28"/>
              <w:lang w:val="en-US" w:eastAsia="zh-CN"/>
            </w:rPr>
            <w:t>签约园区管理</w:t>
          </w:r>
          <w:r>
            <w:tab/>
          </w:r>
          <w:r>
            <w:fldChar w:fldCharType="begin"/>
          </w:r>
          <w:r>
            <w:instrText xml:space="preserve"> PAGEREF _Toc23886 \h </w:instrText>
          </w:r>
          <w:r>
            <w:fldChar w:fldCharType="separate"/>
          </w:r>
          <w:r>
            <w:t>6</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_Toc6654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4.4.1 前置步骤</w:t>
          </w:r>
          <w:r>
            <w:tab/>
          </w:r>
          <w:r>
            <w:fldChar w:fldCharType="begin"/>
          </w:r>
          <w:r>
            <w:instrText xml:space="preserve"> PAGEREF _Toc6654 \h </w:instrText>
          </w:r>
          <w:r>
            <w:fldChar w:fldCharType="separate"/>
          </w:r>
          <w:r>
            <w:t>6</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_Toc2536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4.4.2 查看签约园区列表</w:t>
          </w:r>
          <w:r>
            <w:tab/>
          </w:r>
          <w:r>
            <w:fldChar w:fldCharType="begin"/>
          </w:r>
          <w:r>
            <w:instrText xml:space="preserve"> PAGEREF _Toc2536 \h </w:instrText>
          </w:r>
          <w:r>
            <w:fldChar w:fldCharType="separate"/>
          </w:r>
          <w:r>
            <w:t>6</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_Toc14376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4.4.3 可操作功能</w:t>
          </w:r>
          <w:r>
            <w:tab/>
          </w:r>
          <w:r>
            <w:fldChar w:fldCharType="begin"/>
          </w:r>
          <w:r>
            <w:instrText xml:space="preserve"> PAGEREF _Toc14376 \h </w:instrText>
          </w:r>
          <w:r>
            <w:fldChar w:fldCharType="separate"/>
          </w:r>
          <w:r>
            <w:t>6</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_Toc9116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lang w:val="en-US" w:eastAsia="zh-CN"/>
            </w:rPr>
            <w:t>4.5 服务商政策管理</w:t>
          </w:r>
          <w:r>
            <w:tab/>
          </w:r>
          <w:r>
            <w:fldChar w:fldCharType="begin"/>
          </w:r>
          <w:r>
            <w:instrText xml:space="preserve"> PAGEREF _Toc9116 \h </w:instrText>
          </w:r>
          <w:r>
            <w:fldChar w:fldCharType="separate"/>
          </w:r>
          <w:r>
            <w:t>7</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_Toc28178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4.5.1 前置步骤</w:t>
          </w:r>
          <w:r>
            <w:tab/>
          </w:r>
          <w:r>
            <w:fldChar w:fldCharType="begin"/>
          </w:r>
          <w:r>
            <w:instrText xml:space="preserve"> PAGEREF _Toc28178 \h </w:instrText>
          </w:r>
          <w:r>
            <w:fldChar w:fldCharType="separate"/>
          </w:r>
          <w:r>
            <w:t>7</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_Toc23023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4.5.2 查看服务商政策</w:t>
          </w:r>
          <w:r>
            <w:tab/>
          </w:r>
          <w:r>
            <w:fldChar w:fldCharType="begin"/>
          </w:r>
          <w:r>
            <w:instrText xml:space="preserve"> PAGEREF _Toc23023 \h </w:instrText>
          </w:r>
          <w:r>
            <w:fldChar w:fldCharType="separate"/>
          </w:r>
          <w:r>
            <w:t>7</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_Toc8076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4.5.3 政策下架</w:t>
          </w:r>
          <w:r>
            <w:tab/>
          </w:r>
          <w:r>
            <w:fldChar w:fldCharType="begin"/>
          </w:r>
          <w:r>
            <w:instrText xml:space="preserve"> PAGEREF _Toc8076 \h </w:instrText>
          </w:r>
          <w:r>
            <w:fldChar w:fldCharType="separate"/>
          </w:r>
          <w:r>
            <w:t>8</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_Toc12868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lang w:val="en-US" w:eastAsia="zh-CN"/>
            </w:rPr>
            <w:t>4.6 服务商管理</w:t>
          </w:r>
          <w:r>
            <w:tab/>
          </w:r>
          <w:r>
            <w:fldChar w:fldCharType="begin"/>
          </w:r>
          <w:r>
            <w:instrText xml:space="preserve"> PAGEREF _Toc12868 \h </w:instrText>
          </w:r>
          <w:r>
            <w:fldChar w:fldCharType="separate"/>
          </w:r>
          <w:r>
            <w:t>9</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_Toc4577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4.6.1 前置步骤</w:t>
          </w:r>
          <w:r>
            <w:tab/>
          </w:r>
          <w:r>
            <w:fldChar w:fldCharType="begin"/>
          </w:r>
          <w:r>
            <w:instrText xml:space="preserve"> PAGEREF _Toc4577 \h </w:instrText>
          </w:r>
          <w:r>
            <w:fldChar w:fldCharType="separate"/>
          </w:r>
          <w:r>
            <w:t>9</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_Toc9319 </w:instrText>
          </w:r>
          <w:r>
            <w:rPr>
              <w:rFonts w:ascii="华文细黑" w:hAnsi="华文细黑" w:eastAsia="华文细黑"/>
              <w:bCs/>
              <w:lang w:val="zh-CN"/>
            </w:rPr>
            <w:fldChar w:fldCharType="separate"/>
          </w:r>
          <w:r>
            <w:rPr>
              <w:rFonts w:hint="eastAsia"/>
              <w:szCs w:val="24"/>
              <w:lang w:val="en-US" w:eastAsia="zh-CN"/>
            </w:rPr>
            <w:t xml:space="preserve">4.6.2 </w:t>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查看服务商列表</w:t>
          </w:r>
          <w:r>
            <w:tab/>
          </w:r>
          <w:r>
            <w:fldChar w:fldCharType="begin"/>
          </w:r>
          <w:r>
            <w:instrText xml:space="preserve"> PAGEREF _Toc9319 \h </w:instrText>
          </w:r>
          <w:r>
            <w:fldChar w:fldCharType="separate"/>
          </w:r>
          <w:r>
            <w:t>9</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_Toc11951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4.6.3 新增服务商</w:t>
          </w:r>
          <w:r>
            <w:tab/>
          </w:r>
          <w:r>
            <w:fldChar w:fldCharType="begin"/>
          </w:r>
          <w:r>
            <w:instrText xml:space="preserve"> PAGEREF _Toc11951 \h </w:instrText>
          </w:r>
          <w:r>
            <w:fldChar w:fldCharType="separate"/>
          </w:r>
          <w:r>
            <w:t>10</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_Toc2172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4.6.4 编辑服务商</w:t>
          </w:r>
          <w:r>
            <w:tab/>
          </w:r>
          <w:r>
            <w:fldChar w:fldCharType="begin"/>
          </w:r>
          <w:r>
            <w:instrText xml:space="preserve"> PAGEREF _Toc2172 \h </w:instrText>
          </w:r>
          <w:r>
            <w:fldChar w:fldCharType="separate"/>
          </w:r>
          <w:r>
            <w:t>10</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_Toc5789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4.6.5 注销服务商</w:t>
          </w:r>
          <w:r>
            <w:tab/>
          </w:r>
          <w:r>
            <w:fldChar w:fldCharType="begin"/>
          </w:r>
          <w:r>
            <w:instrText xml:space="preserve"> PAGEREF _Toc5789 \h </w:instrText>
          </w:r>
          <w:r>
            <w:fldChar w:fldCharType="separate"/>
          </w:r>
          <w:r>
            <w:t>11</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_Toc18769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4.6.6 禁用/解禁</w:t>
          </w:r>
          <w:r>
            <w:tab/>
          </w:r>
          <w:r>
            <w:fldChar w:fldCharType="begin"/>
          </w:r>
          <w:r>
            <w:instrText xml:space="preserve"> PAGEREF _Toc18769 \h </w:instrText>
          </w:r>
          <w:r>
            <w:fldChar w:fldCharType="separate"/>
          </w:r>
          <w:r>
            <w:t>11</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_Toc19166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lang w:val="en-US" w:eastAsia="zh-CN"/>
            </w:rPr>
            <w:t>4.7 企业注册订单</w:t>
          </w:r>
          <w:r>
            <w:tab/>
          </w:r>
          <w:r>
            <w:fldChar w:fldCharType="begin"/>
          </w:r>
          <w:r>
            <w:instrText xml:space="preserve"> PAGEREF _Toc19166 \h </w:instrText>
          </w:r>
          <w:r>
            <w:fldChar w:fldCharType="separate"/>
          </w:r>
          <w:r>
            <w:t>11</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_Toc9836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4.7.1 确认收款</w:t>
          </w:r>
          <w:r>
            <w:tab/>
          </w:r>
          <w:r>
            <w:fldChar w:fldCharType="begin"/>
          </w:r>
          <w:r>
            <w:instrText xml:space="preserve"> PAGEREF _Toc9836 \h </w:instrText>
          </w:r>
          <w:r>
            <w:fldChar w:fldCharType="separate"/>
          </w:r>
          <w:r>
            <w:t>12</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_Toc11159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14:textFill>
                <w14:solidFill>
                  <w14:schemeClr w14:val="hlink">
                    <w14:lumMod w14:val="75000"/>
                    <w14:lumOff w14:val="25000"/>
                  </w14:schemeClr>
                </w14:solidFill>
              </w14:textFill>
            </w:rPr>
            <w:t xml:space="preserve">4.7.2 </w:t>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资料审核</w:t>
          </w:r>
          <w:r>
            <w:tab/>
          </w:r>
          <w:r>
            <w:fldChar w:fldCharType="begin"/>
          </w:r>
          <w:r>
            <w:instrText xml:space="preserve"> PAGEREF _Toc11159 \h </w:instrText>
          </w:r>
          <w:r>
            <w:fldChar w:fldCharType="separate"/>
          </w:r>
          <w:r>
            <w:t>13</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_Toc27460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lang w:val="en-US" w:eastAsia="zh-CN"/>
            </w:rPr>
            <w:t>4.8 企业开票订单</w:t>
          </w:r>
          <w:r>
            <w:tab/>
          </w:r>
          <w:r>
            <w:fldChar w:fldCharType="begin"/>
          </w:r>
          <w:r>
            <w:instrText xml:space="preserve"> PAGEREF _Toc27460 \h </w:instrText>
          </w:r>
          <w:r>
            <w:fldChar w:fldCharType="separate"/>
          </w:r>
          <w:r>
            <w:t>13</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_Toc15010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4.8.1 确认收款</w:t>
          </w:r>
          <w:r>
            <w:tab/>
          </w:r>
          <w:r>
            <w:fldChar w:fldCharType="begin"/>
          </w:r>
          <w:r>
            <w:instrText xml:space="preserve"> PAGEREF _Toc15010 \h </w:instrText>
          </w:r>
          <w:r>
            <w:fldChar w:fldCharType="separate"/>
          </w:r>
          <w:r>
            <w:t>14</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_Toc28039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4.8.2 资料审核</w:t>
          </w:r>
          <w:r>
            <w:tab/>
          </w:r>
          <w:r>
            <w:fldChar w:fldCharType="begin"/>
          </w:r>
          <w:r>
            <w:instrText xml:space="preserve"> PAGEREF _Toc28039 \h </w:instrText>
          </w:r>
          <w:r>
            <w:fldChar w:fldCharType="separate"/>
          </w:r>
          <w:r>
            <w:t>15</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_Toc19786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lang w:val="en-US" w:eastAsia="zh-CN"/>
            </w:rPr>
            <w:t>4.9 企业注销订单</w:t>
          </w:r>
          <w:r>
            <w:tab/>
          </w:r>
          <w:r>
            <w:fldChar w:fldCharType="begin"/>
          </w:r>
          <w:r>
            <w:instrText xml:space="preserve"> PAGEREF _Toc19786 \h </w:instrText>
          </w:r>
          <w:r>
            <w:fldChar w:fldCharType="separate"/>
          </w:r>
          <w:r>
            <w:t>16</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_Toc29281 </w:instrText>
          </w:r>
          <w:r>
            <w:rPr>
              <w:rFonts w:ascii="华文细黑" w:hAnsi="华文细黑" w:eastAsia="华文细黑"/>
              <w:bCs/>
              <w:lang w:val="zh-CN"/>
            </w:rPr>
            <w:fldChar w:fldCharType="separate"/>
          </w:r>
          <w:r>
            <w:rPr>
              <w:rFonts w:hint="eastAsia" w:ascii="华文细黑" w:hAnsi="华文细黑" w:eastAsia="华文细黑" w:cs="宋体"/>
              <w:color w:val="1B8AF9" w:themeColor="hyperlink" w:themeTint="BF"/>
              <w:szCs w:val="24"/>
              <w:lang w:val="en-US" w:eastAsia="zh-CN"/>
              <w14:textFill>
                <w14:solidFill>
                  <w14:schemeClr w14:val="hlink">
                    <w14:lumMod w14:val="75000"/>
                    <w14:lumOff w14:val="25000"/>
                  </w14:schemeClr>
                </w14:solidFill>
              </w14:textFill>
            </w:rPr>
            <w:t>4.9.1 确认收款</w:t>
          </w:r>
          <w:r>
            <w:tab/>
          </w:r>
          <w:r>
            <w:fldChar w:fldCharType="begin"/>
          </w:r>
          <w:r>
            <w:instrText xml:space="preserve"> PAGEREF _Toc29281 \h </w:instrText>
          </w:r>
          <w:r>
            <w:fldChar w:fldCharType="separate"/>
          </w:r>
          <w:r>
            <w:t>16</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_Toc27881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4.10 流水补传</w:t>
          </w:r>
          <w:r>
            <w:tab/>
          </w:r>
          <w:r>
            <w:fldChar w:fldCharType="begin"/>
          </w:r>
          <w:r>
            <w:instrText xml:space="preserve"> PAGEREF _Toc27881 \h </w:instrText>
          </w:r>
          <w:r>
            <w:fldChar w:fldCharType="separate"/>
          </w:r>
          <w:r>
            <w:t>17</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_Toc23322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4.11 企业管理</w:t>
          </w:r>
          <w:r>
            <w:tab/>
          </w:r>
          <w:r>
            <w:fldChar w:fldCharType="begin"/>
          </w:r>
          <w:r>
            <w:instrText xml:space="preserve"> PAGEREF _Toc23322 \h </w:instrText>
          </w:r>
          <w:r>
            <w:fldChar w:fldCharType="separate"/>
          </w:r>
          <w:r>
            <w:t>18</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_Toc26011 </w:instrText>
          </w:r>
          <w:r>
            <w:rPr>
              <w:rFonts w:ascii="华文细黑" w:hAnsi="华文细黑" w:eastAsia="华文细黑"/>
              <w:bCs/>
              <w:lang w:val="zh-CN"/>
            </w:rPr>
            <w:fldChar w:fldCharType="separate"/>
          </w:r>
          <w:r>
            <w:rPr>
              <w:rFonts w:hint="eastAsia" w:ascii="华文细黑" w:hAnsi="华文细黑" w:eastAsia="华文细黑" w:cs="宋体"/>
              <w:color w:val="044A91" w:themeColor="hyperlink" w:themeShade="BF"/>
              <w:szCs w:val="28"/>
            </w:rPr>
            <w:t>4.12 申请单管理</w:t>
          </w:r>
          <w:r>
            <w:tab/>
          </w:r>
          <w:r>
            <w:fldChar w:fldCharType="begin"/>
          </w:r>
          <w:r>
            <w:instrText xml:space="preserve"> PAGEREF _Toc26011 \h </w:instrText>
          </w:r>
          <w:r>
            <w:fldChar w:fldCharType="separate"/>
          </w:r>
          <w:r>
            <w:t>20</w:t>
          </w:r>
          <w:r>
            <w:fldChar w:fldCharType="end"/>
          </w:r>
          <w:r>
            <w:rPr>
              <w:rFonts w:ascii="华文细黑" w:hAnsi="华文细黑" w:eastAsia="华文细黑"/>
              <w:bCs/>
              <w:lang w:val="zh-CN"/>
            </w:rPr>
            <w:fldChar w:fldCharType="end"/>
          </w:r>
        </w:p>
        <w:p>
          <w:pPr>
            <w:rPr>
              <w:rFonts w:ascii="华文细黑" w:hAnsi="华文细黑" w:eastAsia="华文细黑"/>
              <w:sz w:val="24"/>
            </w:rPr>
          </w:pPr>
          <w:r>
            <w:rPr>
              <w:rFonts w:ascii="华文细黑" w:hAnsi="华文细黑" w:eastAsia="华文细黑"/>
              <w:bCs/>
              <w:lang w:val="zh-CN"/>
            </w:rPr>
            <w:fldChar w:fldCharType="end"/>
          </w:r>
        </w:p>
      </w:sdtContent>
    </w:sdt>
    <w:p>
      <w:pPr>
        <w:pStyle w:val="9"/>
        <w:ind w:left="840"/>
        <w:jc w:val="center"/>
        <w:rPr>
          <w:rFonts w:ascii="华文细黑" w:hAnsi="华文细黑" w:eastAsia="华文细黑" w:cs="宋体"/>
          <w:b/>
          <w:color w:val="404040" w:themeColor="text1" w:themeTint="BF"/>
          <w:sz w:val="20"/>
          <w:szCs w:val="20"/>
          <w14:textFill>
            <w14:solidFill>
              <w14:schemeClr w14:val="tx1">
                <w14:lumMod w14:val="75000"/>
                <w14:lumOff w14:val="25000"/>
              </w14:schemeClr>
            </w14:solidFill>
          </w14:textFill>
        </w:rPr>
      </w:pPr>
    </w:p>
    <w:p>
      <w:pPr>
        <w:pStyle w:val="9"/>
        <w:ind w:left="840"/>
        <w:jc w:val="center"/>
        <w:rPr>
          <w:rFonts w:ascii="华文细黑" w:hAnsi="华文细黑" w:eastAsia="华文细黑" w:cs="宋体"/>
          <w:b/>
          <w:color w:val="404040" w:themeColor="text1" w:themeTint="BF"/>
          <w:sz w:val="20"/>
          <w:szCs w:val="20"/>
          <w14:textFill>
            <w14:solidFill>
              <w14:schemeClr w14:val="tx1">
                <w14:lumMod w14:val="75000"/>
                <w14:lumOff w14:val="25000"/>
              </w14:schemeClr>
            </w14:solidFill>
          </w14:textFill>
        </w:rPr>
      </w:pPr>
    </w:p>
    <w:p>
      <w:pPr>
        <w:pStyle w:val="9"/>
        <w:ind w:left="840"/>
        <w:jc w:val="center"/>
        <w:rPr>
          <w:rFonts w:ascii="华文细黑" w:hAnsi="华文细黑" w:eastAsia="华文细黑" w:cs="宋体"/>
          <w:b/>
          <w:color w:val="404040" w:themeColor="text1" w:themeTint="BF"/>
          <w:sz w:val="20"/>
          <w:szCs w:val="20"/>
          <w14:textFill>
            <w14:solidFill>
              <w14:schemeClr w14:val="tx1">
                <w14:lumMod w14:val="75000"/>
                <w14:lumOff w14:val="25000"/>
              </w14:schemeClr>
            </w14:solidFill>
          </w14:textFill>
        </w:rPr>
      </w:pPr>
    </w:p>
    <w:p>
      <w:pPr>
        <w:rPr>
          <w:rFonts w:ascii="华文细黑" w:hAnsi="华文细黑" w:eastAsia="华文细黑"/>
          <w:sz w:val="24"/>
        </w:rPr>
      </w:pPr>
    </w:p>
    <w:p>
      <w:pPr>
        <w:pStyle w:val="2"/>
        <w:ind w:left="431" w:hanging="431"/>
        <w:rPr>
          <w:rFonts w:ascii="华文细黑" w:hAnsi="华文细黑" w:eastAsia="华文细黑" w:cs="宋体"/>
          <w:color w:val="203864" w:themeColor="accent1" w:themeShade="80"/>
          <w:sz w:val="40"/>
          <w:szCs w:val="40"/>
        </w:rPr>
      </w:pPr>
      <w:bookmarkStart w:id="6" w:name="_Toc15057"/>
      <w:r>
        <w:rPr>
          <w:rFonts w:hint="eastAsia" w:ascii="华文细黑" w:hAnsi="华文细黑" w:eastAsia="华文细黑" w:cs="宋体"/>
          <w:color w:val="203864" w:themeColor="accent1" w:themeShade="80"/>
          <w:sz w:val="40"/>
          <w:szCs w:val="40"/>
        </w:rPr>
        <w:t>引言</w:t>
      </w:r>
      <w:bookmarkEnd w:id="2"/>
      <w:bookmarkEnd w:id="3"/>
      <w:bookmarkEnd w:id="4"/>
      <w:bookmarkEnd w:id="5"/>
      <w:bookmarkEnd w:id="6"/>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7" w:name="_Toc31012"/>
      <w:bookmarkStart w:id="8" w:name="_Toc19469"/>
      <w:r>
        <w:rPr>
          <w:rFonts w:hint="eastAsia" w:ascii="华文细黑" w:hAnsi="华文细黑" w:eastAsia="华文细黑" w:cs="宋体"/>
          <w:color w:val="2F5597" w:themeColor="accent1" w:themeShade="BF"/>
          <w:sz w:val="28"/>
          <w:szCs w:val="28"/>
        </w:rPr>
        <w:t>编写目的</w:t>
      </w:r>
      <w:bookmarkEnd w:id="7"/>
      <w:bookmarkEnd w:id="8"/>
    </w:p>
    <w:p>
      <w:pPr>
        <w:pStyle w:val="23"/>
        <w:numPr>
          <w:ilvl w:val="0"/>
          <w:numId w:val="3"/>
        </w:num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便于企业内部快速熟悉个体户工具使用流程和细节，其中包含部分业务数据说明，在接受操作演示培训后，可用操作手册用于辅助。</w:t>
      </w:r>
    </w:p>
    <w:p>
      <w:pPr>
        <w:pStyle w:val="3"/>
        <w:spacing w:before="120" w:after="120" w:line="240" w:lineRule="auto"/>
        <w:ind w:left="578" w:hanging="578"/>
        <w:rPr>
          <w:rFonts w:ascii="华文细黑" w:hAnsi="华文细黑" w:eastAsia="华文细黑" w:cs="宋体"/>
          <w:color w:val="2F5597" w:themeColor="accent1" w:themeShade="BF"/>
          <w:sz w:val="28"/>
          <w:szCs w:val="28"/>
        </w:rPr>
      </w:pPr>
      <w:r>
        <w:rPr>
          <w:rFonts w:hint="eastAsia" w:ascii="华文细黑" w:hAnsi="华文细黑" w:eastAsia="华文细黑" w:cs="宋体"/>
          <w:color w:val="2F5597" w:themeColor="accent1" w:themeShade="BF"/>
          <w:sz w:val="28"/>
          <w:szCs w:val="28"/>
        </w:rPr>
        <w:t xml:space="preserve"> </w:t>
      </w:r>
      <w:bookmarkStart w:id="9" w:name="_Toc10292"/>
      <w:r>
        <w:rPr>
          <w:rFonts w:hint="eastAsia" w:ascii="华文细黑" w:hAnsi="华文细黑" w:eastAsia="华文细黑" w:cs="宋体"/>
          <w:color w:val="2F5597" w:themeColor="accent1" w:themeShade="BF"/>
          <w:sz w:val="28"/>
          <w:szCs w:val="28"/>
        </w:rPr>
        <w:t>编辑历史</w:t>
      </w:r>
      <w:bookmarkEnd w:id="9"/>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列出手册中使用的专门术语的定义和缩写词的原意。</w:t>
      </w:r>
    </w:p>
    <w:tbl>
      <w:tblPr>
        <w:tblStyle w:val="12"/>
        <w:tblW w:w="4844" w:type="pct"/>
        <w:tblInd w:w="108"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Layout w:type="autofit"/>
        <w:tblCellMar>
          <w:top w:w="0" w:type="dxa"/>
          <w:left w:w="108" w:type="dxa"/>
          <w:bottom w:w="0" w:type="dxa"/>
          <w:right w:w="108" w:type="dxa"/>
        </w:tblCellMar>
      </w:tblPr>
      <w:tblGrid>
        <w:gridCol w:w="2053"/>
        <w:gridCol w:w="2415"/>
        <w:gridCol w:w="2415"/>
        <w:gridCol w:w="604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12"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b/>
                <w:bCs/>
                <w:color w:val="404040" w:themeColor="text1" w:themeTint="BF"/>
                <w:kern w:val="0"/>
                <w:sz w:val="20"/>
                <w:szCs w:val="21"/>
                <w14:textFill>
                  <w14:solidFill>
                    <w14:schemeClr w14:val="tx1">
                      <w14:lumMod w14:val="75000"/>
                      <w14:lumOff w14:val="25000"/>
                    </w14:schemeClr>
                  </w14:solidFill>
                </w14:textFill>
              </w:rPr>
            </w:pPr>
            <w:r>
              <w:rPr>
                <w:rFonts w:hint="eastAsia" w:ascii="华文细黑" w:hAnsi="华文细黑" w:eastAsia="华文细黑"/>
                <w:color w:val="121212"/>
                <w:kern w:val="0"/>
                <w:sz w:val="20"/>
                <w:szCs w:val="21"/>
              </w:rPr>
              <w:t>版本</w:t>
            </w:r>
          </w:p>
        </w:tc>
        <w:tc>
          <w:tcPr>
            <w:tcW w:w="934" w:type="pct"/>
            <w:shd w:val="clear" w:color="auto" w:fill="FFFFFF" w:themeFill="background1"/>
            <w:vAlign w:val="center"/>
          </w:tcPr>
          <w:p>
            <w:pPr>
              <w:spacing w:line="240" w:lineRule="auto"/>
              <w:jc w:val="center"/>
              <w:rPr>
                <w:rFonts w:ascii="华文细黑" w:hAnsi="华文细黑" w:eastAsia="华文细黑" w:cs="宋体"/>
                <w:b/>
                <w:bCs/>
                <w:color w:val="404040" w:themeColor="text1" w:themeTint="BF"/>
                <w:kern w:val="0"/>
                <w:sz w:val="20"/>
                <w:szCs w:val="21"/>
                <w14:textFill>
                  <w14:solidFill>
                    <w14:schemeClr w14:val="tx1">
                      <w14:lumMod w14:val="75000"/>
                      <w14:lumOff w14:val="25000"/>
                    </w14:schemeClr>
                  </w14:solidFill>
                </w14:textFill>
              </w:rPr>
            </w:pPr>
            <w:r>
              <w:rPr>
                <w:rFonts w:hint="eastAsia" w:ascii="华文细黑" w:hAnsi="华文细黑" w:eastAsia="华文细黑"/>
                <w:color w:val="121212"/>
                <w:kern w:val="0"/>
                <w:sz w:val="20"/>
                <w:szCs w:val="21"/>
              </w:rPr>
              <w:t>日期</w:t>
            </w:r>
          </w:p>
        </w:tc>
        <w:tc>
          <w:tcPr>
            <w:tcW w:w="934" w:type="pct"/>
            <w:shd w:val="clear" w:color="auto" w:fill="FFFFFF" w:themeFill="background1"/>
            <w:vAlign w:val="center"/>
          </w:tcPr>
          <w:p>
            <w:pPr>
              <w:spacing w:line="240" w:lineRule="auto"/>
              <w:jc w:val="center"/>
              <w:rPr>
                <w:rFonts w:ascii="华文细黑" w:hAnsi="华文细黑" w:eastAsia="华文细黑" w:cs="宋体"/>
                <w:b/>
                <w:bCs/>
                <w:color w:val="404040" w:themeColor="text1" w:themeTint="BF"/>
                <w:kern w:val="0"/>
                <w:sz w:val="20"/>
                <w:szCs w:val="21"/>
                <w14:textFill>
                  <w14:solidFill>
                    <w14:schemeClr w14:val="tx1">
                      <w14:lumMod w14:val="75000"/>
                      <w14:lumOff w14:val="25000"/>
                    </w14:schemeClr>
                  </w14:solidFill>
                </w14:textFill>
              </w:rPr>
            </w:pPr>
            <w:r>
              <w:rPr>
                <w:rFonts w:hint="eastAsia" w:ascii="华文细黑" w:hAnsi="华文细黑" w:eastAsia="华文细黑"/>
                <w:color w:val="121212"/>
                <w:kern w:val="0"/>
                <w:sz w:val="20"/>
                <w:szCs w:val="21"/>
              </w:rPr>
              <w:t>编辑人</w:t>
            </w:r>
          </w:p>
        </w:tc>
        <w:tc>
          <w:tcPr>
            <w:tcW w:w="2338" w:type="pct"/>
            <w:shd w:val="clear" w:color="auto" w:fill="FFFFFF" w:themeFill="background1"/>
            <w:noWrap/>
            <w:vAlign w:val="center"/>
          </w:tcPr>
          <w:p>
            <w:pPr>
              <w:spacing w:line="240" w:lineRule="auto"/>
              <w:jc w:val="center"/>
              <w:rPr>
                <w:rFonts w:ascii="华文细黑" w:hAnsi="华文细黑" w:eastAsia="华文细黑" w:cs="宋体"/>
                <w:b/>
                <w:bCs/>
                <w:color w:val="404040" w:themeColor="text1" w:themeTint="BF"/>
                <w:kern w:val="0"/>
                <w:sz w:val="20"/>
                <w:szCs w:val="21"/>
                <w14:textFill>
                  <w14:solidFill>
                    <w14:schemeClr w14:val="tx1">
                      <w14:lumMod w14:val="75000"/>
                      <w14:lumOff w14:val="25000"/>
                    </w14:schemeClr>
                  </w14:solidFill>
                </w14:textFill>
              </w:rPr>
            </w:pPr>
            <w:r>
              <w:rPr>
                <w:rFonts w:hint="eastAsia" w:ascii="华文细黑" w:hAnsi="华文细黑" w:eastAsia="华文细黑"/>
                <w:color w:val="121212"/>
                <w:kern w:val="0"/>
                <w:sz w:val="20"/>
                <w:szCs w:val="21"/>
              </w:rPr>
              <w:t>变更内容</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1</w:t>
            </w:r>
            <w: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.0.0</w:t>
            </w: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7月1</w:t>
            </w:r>
            <w: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3</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日</w:t>
            </w: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刘剑</w:t>
            </w: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bl>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p>
    <w:p>
      <w:pPr>
        <w:pStyle w:val="2"/>
        <w:ind w:left="431" w:hanging="431"/>
        <w:rPr>
          <w:rFonts w:ascii="华文细黑" w:hAnsi="华文细黑" w:eastAsia="华文细黑" w:cs="宋体"/>
          <w:color w:val="203864" w:themeColor="accent1" w:themeShade="80"/>
          <w:sz w:val="40"/>
          <w:szCs w:val="40"/>
        </w:rPr>
      </w:pPr>
      <w:bookmarkStart w:id="10" w:name="_Toc15441"/>
      <w:bookmarkStart w:id="11" w:name="_Toc797"/>
      <w:r>
        <w:rPr>
          <w:rFonts w:hint="eastAsia" w:ascii="华文细黑" w:hAnsi="华文细黑" w:eastAsia="华文细黑" w:cs="宋体"/>
          <w:color w:val="203864" w:themeColor="accent1" w:themeShade="80"/>
          <w:sz w:val="40"/>
          <w:szCs w:val="40"/>
        </w:rPr>
        <w:t>平台目标</w:t>
      </w:r>
      <w:bookmarkEnd w:id="10"/>
      <w:bookmarkEnd w:id="11"/>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12" w:name="_Toc1909"/>
      <w:r>
        <w:rPr>
          <w:rFonts w:hint="eastAsia" w:ascii="华文细黑" w:hAnsi="华文细黑" w:eastAsia="华文细黑" w:cs="宋体"/>
          <w:color w:val="2F5597" w:themeColor="accent1" w:themeShade="BF"/>
          <w:sz w:val="28"/>
          <w:szCs w:val="28"/>
        </w:rPr>
        <w:t>工具简介</w:t>
      </w:r>
      <w:bookmarkEnd w:id="12"/>
    </w:p>
    <w:p>
      <w:pPr>
        <w:pStyle w:val="24"/>
        <w:numPr>
          <w:ilvl w:val="0"/>
          <w:numId w:val="4"/>
        </w:numPr>
        <w:ind w:firstLineChars="0"/>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个体户工具运营方通过运营后台审核业务订单（注册、开票、注销）和查看数据。</w:t>
      </w:r>
    </w:p>
    <w:p>
      <w:pPr>
        <w:pStyle w:val="24"/>
        <w:numPr>
          <w:ilvl w:val="0"/>
          <w:numId w:val="4"/>
        </w:numPr>
        <w:ind w:firstLineChars="0"/>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个体户工具运营方通过运营后台设置各个业务角色(园区、企业</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数据，包括新增和编辑。</w:t>
      </w:r>
    </w:p>
    <w:p>
      <w:pPr>
        <w:pStyle w:val="24"/>
        <w:numPr>
          <w:ilvl w:val="0"/>
          <w:numId w:val="4"/>
        </w:numPr>
        <w:ind w:firstLineChars="0"/>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个体户工具运营方通过运营后台配置各个业务流程中的费用和税率数据。</w:t>
      </w: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13" w:name="_Toc20901"/>
      <w:r>
        <w:rPr>
          <w:rFonts w:hint="eastAsia" w:ascii="华文细黑" w:hAnsi="华文细黑" w:eastAsia="华文细黑" w:cs="宋体"/>
          <w:color w:val="2F5597" w:themeColor="accent1" w:themeShade="BF"/>
          <w:sz w:val="28"/>
          <w:szCs w:val="28"/>
        </w:rPr>
        <w:t>核心功能</w:t>
      </w:r>
      <w:bookmarkEnd w:id="13"/>
    </w:p>
    <w:tbl>
      <w:tblPr>
        <w:tblStyle w:val="11"/>
        <w:tblW w:w="10443" w:type="dxa"/>
        <w:tblInd w:w="322" w:type="dxa"/>
        <w:shd w:val="clear" w:color="auto" w:fill="FFFFFF"/>
        <w:tblLayout w:type="autofit"/>
        <w:tblCellMar>
          <w:top w:w="15" w:type="dxa"/>
          <w:left w:w="15" w:type="dxa"/>
          <w:bottom w:w="15" w:type="dxa"/>
          <w:right w:w="15" w:type="dxa"/>
        </w:tblCellMar>
      </w:tblPr>
      <w:tblGrid>
        <w:gridCol w:w="4961"/>
        <w:gridCol w:w="5482"/>
      </w:tblGrid>
      <w:tr>
        <w:tblPrEx>
          <w:shd w:val="clear" w:color="auto" w:fill="FFFFFF"/>
          <w:tblCellMar>
            <w:top w:w="15" w:type="dxa"/>
            <w:left w:w="15" w:type="dxa"/>
            <w:bottom w:w="15" w:type="dxa"/>
            <w:right w:w="15" w:type="dxa"/>
          </w:tblCellMar>
        </w:tblPrEx>
        <w:trPr>
          <w:trHeight w:val="559"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系统设置</w:t>
            </w:r>
          </w:p>
        </w:tc>
        <w:tc>
          <w:tcPr>
            <w:tcW w:w="5482"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运营管理</w:t>
            </w:r>
          </w:p>
        </w:tc>
      </w:tr>
      <w:tr>
        <w:tblPrEx>
          <w:shd w:val="clear" w:color="auto" w:fill="FFFFFF"/>
          <w:tblCellMar>
            <w:top w:w="15" w:type="dxa"/>
            <w:left w:w="15" w:type="dxa"/>
            <w:bottom w:w="15" w:type="dxa"/>
            <w:right w:w="15" w:type="dxa"/>
          </w:tblCellMar>
        </w:tblPrEx>
        <w:trPr>
          <w:trHeight w:val="360"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 设置后台菜单</w:t>
            </w:r>
            <w:r>
              <w:rPr>
                <w:rFonts w:hint="eastAsia" w:ascii="华文细黑" w:hAnsi="华文细黑" w:eastAsia="华文细黑" w:cs="宋体"/>
                <w:color w:val="121212"/>
                <w:kern w:val="0"/>
                <w:sz w:val="20"/>
                <w:szCs w:val="20"/>
              </w:rPr>
              <w:br w:type="textWrapping"/>
            </w:r>
            <w:r>
              <w:rPr>
                <w:rFonts w:hint="eastAsia" w:ascii="华文细黑" w:hAnsi="华文细黑" w:eastAsia="华文细黑" w:cs="宋体"/>
                <w:color w:val="121212"/>
                <w:kern w:val="0"/>
                <w:sz w:val="20"/>
                <w:szCs w:val="20"/>
              </w:rPr>
              <w:t>• 配置系统角色</w:t>
            </w:r>
          </w:p>
        </w:tc>
        <w:tc>
          <w:tcPr>
            <w:tcW w:w="5482"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 管理渠道商所有申请的企业</w:t>
            </w:r>
          </w:p>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 管理广告位和通知，用于OEM运营</w:t>
            </w:r>
            <w:r>
              <w:rPr>
                <w:rFonts w:hint="eastAsia" w:ascii="华文细黑" w:hAnsi="华文细黑" w:eastAsia="华文细黑" w:cs="宋体"/>
                <w:color w:val="121212"/>
                <w:kern w:val="0"/>
                <w:sz w:val="20"/>
                <w:szCs w:val="20"/>
              </w:rPr>
              <w:br w:type="textWrapping"/>
            </w:r>
            <w:r>
              <w:rPr>
                <w:rFonts w:hint="eastAsia" w:ascii="华文细黑" w:hAnsi="华文细黑" w:eastAsia="华文细黑" w:cs="宋体"/>
                <w:color w:val="121212"/>
                <w:kern w:val="0"/>
                <w:sz w:val="20"/>
                <w:szCs w:val="20"/>
              </w:rPr>
              <w:t>• 管理各个OEM机构的常见问题，利于用户使用小工具</w:t>
            </w:r>
          </w:p>
        </w:tc>
      </w:tr>
      <w:tr>
        <w:tblPrEx>
          <w:shd w:val="clear" w:color="auto" w:fill="FFFFFF"/>
          <w:tblCellMar>
            <w:top w:w="15" w:type="dxa"/>
            <w:left w:w="15" w:type="dxa"/>
            <w:bottom w:w="15" w:type="dxa"/>
            <w:right w:w="15" w:type="dxa"/>
          </w:tblCellMar>
        </w:tblPrEx>
        <w:trPr>
          <w:trHeight w:val="360"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政策设置</w:t>
            </w:r>
          </w:p>
        </w:tc>
        <w:tc>
          <w:tcPr>
            <w:tcW w:w="5482"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订单审核及其他操作</w:t>
            </w:r>
          </w:p>
        </w:tc>
      </w:tr>
      <w:tr>
        <w:tblPrEx>
          <w:tblCellMar>
            <w:top w:w="15" w:type="dxa"/>
            <w:left w:w="15" w:type="dxa"/>
            <w:bottom w:w="15" w:type="dxa"/>
            <w:right w:w="15" w:type="dxa"/>
          </w:tblCellMar>
        </w:tblPrEx>
        <w:trPr>
          <w:trHeight w:val="360"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 编辑各个角色的相关政策园区、服务商</w:t>
            </w:r>
            <w:r>
              <w:rPr>
                <w:rFonts w:hint="eastAsia" w:ascii="华文细黑" w:hAnsi="华文细黑" w:eastAsia="华文细黑" w:cs="宋体"/>
                <w:color w:val="121212"/>
                <w:kern w:val="0"/>
                <w:sz w:val="20"/>
                <w:szCs w:val="20"/>
              </w:rPr>
              <w:br w:type="textWrapping"/>
            </w:r>
            <w:r>
              <w:rPr>
                <w:rFonts w:hint="eastAsia" w:ascii="华文细黑" w:hAnsi="华文细黑" w:eastAsia="华文细黑" w:cs="宋体"/>
                <w:color w:val="121212"/>
                <w:kern w:val="0"/>
                <w:sz w:val="20"/>
                <w:szCs w:val="20"/>
              </w:rPr>
              <w:t>• 新增和编辑业务相关政策（园区签约）</w:t>
            </w:r>
          </w:p>
        </w:tc>
        <w:tc>
          <w:tcPr>
            <w:tcW w:w="5482"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 审核和管理个体户注册、开票、注销的订单</w:t>
            </w:r>
            <w:r>
              <w:rPr>
                <w:rFonts w:hint="eastAsia" w:ascii="华文细黑" w:hAnsi="华文细黑" w:eastAsia="华文细黑" w:cs="宋体"/>
                <w:color w:val="121212"/>
                <w:kern w:val="0"/>
                <w:sz w:val="20"/>
                <w:szCs w:val="20"/>
              </w:rPr>
              <w:br w:type="textWrapping"/>
            </w:r>
            <w:r>
              <w:rPr>
                <w:rFonts w:hint="eastAsia" w:ascii="华文细黑" w:hAnsi="华文细黑" w:eastAsia="华文细黑" w:cs="宋体"/>
                <w:color w:val="121212"/>
                <w:kern w:val="0"/>
                <w:sz w:val="20"/>
                <w:szCs w:val="20"/>
              </w:rPr>
              <w:t>• 查看所有订单数据</w:t>
            </w:r>
          </w:p>
        </w:tc>
      </w:tr>
    </w:tbl>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p>
    <w:p>
      <w:pPr>
        <w:pStyle w:val="2"/>
        <w:ind w:left="431" w:hanging="431"/>
        <w:rPr>
          <w:rFonts w:ascii="华文细黑" w:hAnsi="华文细黑" w:eastAsia="华文细黑" w:cs="宋体"/>
          <w:color w:val="203864" w:themeColor="accent1" w:themeShade="80"/>
          <w:sz w:val="40"/>
          <w:szCs w:val="40"/>
        </w:rPr>
      </w:pPr>
      <w:bookmarkStart w:id="14" w:name="_Toc8832"/>
      <w:bookmarkStart w:id="15" w:name="_Toc27166"/>
      <w:r>
        <w:rPr>
          <w:rFonts w:hint="eastAsia" w:ascii="华文细黑" w:hAnsi="华文细黑" w:eastAsia="华文细黑" w:cs="宋体"/>
          <w:color w:val="203864" w:themeColor="accent1" w:themeShade="80"/>
          <w:sz w:val="40"/>
          <w:szCs w:val="40"/>
        </w:rPr>
        <w:t>运行环境</w:t>
      </w:r>
      <w:bookmarkEnd w:id="14"/>
      <w:bookmarkEnd w:id="15"/>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sz w:val="20"/>
          <w:szCs w:val="20"/>
          <w14:textFill>
            <w14:solidFill>
              <w14:schemeClr w14:val="tx1">
                <w14:lumMod w14:val="75000"/>
                <w14:lumOff w14:val="25000"/>
              </w14:schemeClr>
            </w14:solidFill>
          </w14:textFill>
        </w:rPr>
        <w:t>操作系统</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：推荐Windows7系统及以上，显示器分辨率1366*768及以上；</w:t>
      </w:r>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sz w:val="20"/>
          <w:szCs w:val="20"/>
          <w14:textFill>
            <w14:solidFill>
              <w14:schemeClr w14:val="tx1">
                <w14:lumMod w14:val="75000"/>
                <w14:lumOff w14:val="25000"/>
              </w14:schemeClr>
            </w14:solidFill>
          </w14:textFill>
        </w:rPr>
        <w:t>网络环境</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：可以登录互联网的台式电脑或笔记本电脑；</w:t>
      </w:r>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sz w:val="20"/>
          <w:szCs w:val="20"/>
          <w14:textFill>
            <w14:solidFill>
              <w14:schemeClr w14:val="tx1">
                <w14:lumMod w14:val="75000"/>
                <w14:lumOff w14:val="25000"/>
              </w14:schemeClr>
            </w14:solidFill>
          </w14:textFill>
        </w:rPr>
        <w:t>登录方式</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：通过固定网址在浏览器中访问系统</w:t>
      </w:r>
      <w:r>
        <w:rPr>
          <w:rFonts w:hint="eastAsia" w:ascii="华文细黑" w:hAnsi="华文细黑" w:eastAsia="华文细黑" w:cs="宋体"/>
          <w:color w:val="404040" w:themeColor="text1" w:themeTint="BF"/>
          <w:sz w:val="20"/>
          <w:szCs w:val="20"/>
          <w:lang w:eastAsia="zh-CN"/>
          <w14:textFill>
            <w14:solidFill>
              <w14:schemeClr w14:val="tx1">
                <w14:lumMod w14:val="75000"/>
                <w14:lumOff w14:val="25000"/>
              </w14:schemeClr>
            </w14:solidFill>
          </w14:textFill>
        </w:rPr>
        <w:t>：</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https://itaxweb.zhugongyun.cn/itaxpc/#/login</w:t>
      </w:r>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sz w:val="20"/>
          <w:szCs w:val="20"/>
          <w14:textFill>
            <w14:solidFill>
              <w14:schemeClr w14:val="tx1">
                <w14:lumMod w14:val="75000"/>
                <w14:lumOff w14:val="25000"/>
              </w14:schemeClr>
            </w14:solidFill>
          </w14:textFill>
        </w:rPr>
        <w:t>浏览器</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：除</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InternetExplorer</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以外的浏览器。推荐Edge、谷歌浏览器、火狐浏览器（Firefox）。</w:t>
      </w:r>
    </w:p>
    <w:p>
      <w:pPr>
        <w:pStyle w:val="2"/>
        <w:ind w:left="431" w:hanging="431"/>
        <w:rPr>
          <w:rFonts w:ascii="华文细黑" w:hAnsi="华文细黑" w:eastAsia="华文细黑" w:cs="宋体"/>
          <w:color w:val="203864" w:themeColor="accent1" w:themeShade="80"/>
          <w:sz w:val="40"/>
          <w:szCs w:val="40"/>
        </w:rPr>
      </w:pPr>
      <w:bookmarkStart w:id="16" w:name="_Toc13579"/>
      <w:bookmarkStart w:id="17" w:name="_Toc1415"/>
      <w:r>
        <w:rPr>
          <w:rFonts w:hint="eastAsia" w:ascii="华文细黑" w:hAnsi="华文细黑" w:eastAsia="华文细黑" w:cs="宋体"/>
          <w:color w:val="203864" w:themeColor="accent1" w:themeShade="80"/>
          <w:sz w:val="40"/>
          <w:szCs w:val="40"/>
        </w:rPr>
        <w:t>使用说明</w:t>
      </w:r>
      <w:bookmarkEnd w:id="16"/>
      <w:bookmarkEnd w:id="17"/>
    </w:p>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18" w:name="_名词释义"/>
      <w:bookmarkEnd w:id="18"/>
      <w:bookmarkStart w:id="19" w:name="_Toc26371"/>
      <w:r>
        <w:rPr>
          <w:rFonts w:hint="eastAsia" w:ascii="华文细黑" w:hAnsi="华文细黑" w:eastAsia="华文细黑" w:cs="宋体"/>
          <w:color w:val="2F5597" w:themeColor="accent1" w:themeShade="BF"/>
          <w:sz w:val="28"/>
          <w:szCs w:val="28"/>
        </w:rPr>
        <w:t>名词释义</w:t>
      </w:r>
      <w:bookmarkEnd w:id="19"/>
    </w:p>
    <w:tbl>
      <w:tblPr>
        <w:tblStyle w:val="12"/>
        <w:tblW w:w="4750" w:type="pct"/>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770"/>
        <w:gridCol w:w="10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9" w:hRule="atLeast"/>
        </w:trPr>
        <w:tc>
          <w:tcPr>
            <w:tcW w:w="698" w:type="pct"/>
            <w:shd w:val="clear" w:color="auto" w:fill="FFFFFF" w:themeFill="background1"/>
            <w:noWrap/>
            <w:vAlign w:val="center"/>
          </w:tcPr>
          <w:p>
            <w:pPr>
              <w:spacing w:line="240" w:lineRule="auto"/>
              <w:jc w:val="center"/>
              <w:rPr>
                <w:rFonts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t>主要名词</w:t>
            </w:r>
          </w:p>
        </w:tc>
        <w:tc>
          <w:tcPr>
            <w:tcW w:w="4302" w:type="pct"/>
            <w:shd w:val="clear" w:color="auto" w:fill="FFFFFF" w:themeFill="background1"/>
            <w:noWrap/>
            <w:vAlign w:val="center"/>
          </w:tcPr>
          <w:p>
            <w:pPr>
              <w:spacing w:line="240" w:lineRule="auto"/>
              <w:jc w:val="center"/>
              <w:rPr>
                <w:rFonts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t>解义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9" w:hRule="atLeast"/>
        </w:trPr>
        <w:tc>
          <w:tcPr>
            <w:tcW w:w="698" w:type="pct"/>
            <w:shd w:val="clear" w:color="auto" w:fill="FFFFFF" w:themeFill="background1"/>
            <w:noWrap/>
            <w:vAlign w:val="center"/>
          </w:tcPr>
          <w:p>
            <w:pPr>
              <w:spacing w:line="240" w:lineRule="auto"/>
              <w:rPr>
                <w:rFonts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OEM机构</w:t>
            </w:r>
          </w:p>
        </w:tc>
        <w:tc>
          <w:tcPr>
            <w:tcW w:w="4302"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OEM机构是指合作企业对个体户工具进行贴牌运营，拥有一套完整的个体户工具以及后台管理（仅有总后台会有OEM机构管理）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038"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园区</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即</w:t>
            </w:r>
            <w:r>
              <w:rPr>
                <w:rFonts w:hint="eastAsia" w:ascii="华文细黑" w:hAnsi="华文细黑" w:eastAsia="华文细黑" w:cs="宋体"/>
                <w:color w:val="404040" w:themeColor="text1" w:themeTint="BF"/>
                <w:kern w:val="0"/>
                <w:sz w:val="20"/>
                <w:szCs w:val="20"/>
                <w:lang w:val="en-US" w:eastAsia="zh-CN"/>
                <w14:textFill>
                  <w14:solidFill>
                    <w14:schemeClr w14:val="tx1">
                      <w14:lumMod w14:val="75000"/>
                      <w14:lumOff w14:val="25000"/>
                    </w14:schemeClr>
                  </w14:solidFill>
                </w14:textFill>
              </w:rPr>
              <w:t>业务落地</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园区，</w:t>
            </w:r>
            <w:r>
              <w:rPr>
                <w:rFonts w:hint="eastAsia" w:ascii="华文细黑" w:hAnsi="华文细黑" w:eastAsia="华文细黑" w:cs="宋体"/>
                <w:color w:val="404040" w:themeColor="text1" w:themeTint="BF"/>
                <w:kern w:val="0"/>
                <w:sz w:val="20"/>
                <w:szCs w:val="20"/>
                <w:lang w:val="en-US" w:eastAsia="zh-CN"/>
                <w14:textFill>
                  <w14:solidFill>
                    <w14:schemeClr w14:val="tx1">
                      <w14:lumMod w14:val="75000"/>
                      <w14:lumOff w14:val="25000"/>
                    </w14:schemeClr>
                  </w14:solidFill>
                </w14:textFill>
              </w:rPr>
              <w:t>业务落地</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是指特定行政区域，在</w:t>
            </w:r>
            <w:r>
              <w:rPr>
                <w:rFonts w:hint="eastAsia" w:ascii="华文细黑" w:hAnsi="华文细黑" w:eastAsia="华文细黑" w:cs="宋体"/>
                <w:color w:val="404040" w:themeColor="text1" w:themeTint="BF"/>
                <w:kern w:val="0"/>
                <w:sz w:val="20"/>
                <w:szCs w:val="20"/>
                <w:lang w:val="en-US" w:eastAsia="zh-CN"/>
                <w14:textFill>
                  <w14:solidFill>
                    <w14:schemeClr w14:val="tx1">
                      <w14:lumMod w14:val="75000"/>
                      <w14:lumOff w14:val="25000"/>
                    </w14:schemeClr>
                  </w14:solidFill>
                </w14:textFill>
              </w:rPr>
              <w:t>园区注册</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企业可享受</w:t>
            </w:r>
            <w:r>
              <w:rPr>
                <w:rFonts w:hint="eastAsia" w:ascii="华文细黑" w:hAnsi="华文细黑" w:eastAsia="华文细黑" w:cs="宋体"/>
                <w:color w:val="404040" w:themeColor="text1" w:themeTint="BF"/>
                <w:kern w:val="0"/>
                <w:sz w:val="20"/>
                <w:szCs w:val="20"/>
                <w:lang w:val="en-US" w:eastAsia="zh-CN"/>
                <w14:textFill>
                  <w14:solidFill>
                    <w14:schemeClr w14:val="tx1">
                      <w14:lumMod w14:val="75000"/>
                      <w14:lumOff w14:val="25000"/>
                    </w14:schemeClr>
                  </w14:solidFill>
                </w14:textFill>
              </w:rPr>
              <w:t>当地政府给予的一定</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优惠政策、地方留存返还政策、简化税收征管办法等。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5"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服务商</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lang w:val="en-US" w:eastAsia="zh-CN"/>
                <w14:textFill>
                  <w14:solidFill>
                    <w14:schemeClr w14:val="tx1">
                      <w14:lumMod w14:val="75000"/>
                      <w14:lumOff w14:val="25000"/>
                    </w14:schemeClr>
                  </w14:solidFill>
                </w14:textFill>
              </w:rPr>
              <w:t>即</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渠道商，业务合作企业或个人，在个体户H</w:t>
            </w:r>
            <w: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5</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工具上的使用者。渠道商在个体户工具的移动端为其服务的终端用户进行个体户注册、开票、注销等功能操作。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7"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流水</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服务商为个体户申请开票是需要上传的交易流水往来，记录所有收支明细。可以进行后补操作，即在开票申请完签收发票后3</w:t>
            </w:r>
            <w: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0</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日内补齐记录流水的材料。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46"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注册费</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即服务商在帮助终端用户注册个体户时所需要缴纳的注册费用，由渠道商向终端用户收取再转账给OEM方。（注销服务费释义类同）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交易服务费</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渠道商帮助个体户开票时依照园区在后台设置的服务费率计算得出，服务费=开票金额*服务费率，专普各异。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2"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税费</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开票时依据园区后台政策设置中设置的各种税率计算得出，目前主要的税种为增值税（专普）、附加税（城建税、教育附加税、地方教育附加税）、所得税、印花税、水利建设基金。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lang w:val="en-US" w:eastAsia="zh-CN"/>
                <w14:textFill>
                  <w14:solidFill>
                    <w14:schemeClr w14:val="tx1">
                      <w14:lumMod w14:val="75000"/>
                      <w14:lumOff w14:val="25000"/>
                    </w14:schemeClr>
                  </w14:solidFill>
                </w14:textFill>
              </w:rPr>
              <w:t>客户</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经理</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客</w:t>
            </w:r>
            <w:r>
              <w:rPr>
                <w:rFonts w:hint="eastAsia" w:ascii="华文细黑" w:hAnsi="华文细黑" w:eastAsia="华文细黑" w:cs="宋体"/>
                <w:color w:val="404040" w:themeColor="text1" w:themeTint="BF"/>
                <w:kern w:val="0"/>
                <w:sz w:val="20"/>
                <w:szCs w:val="20"/>
                <w:lang w:val="en-US" w:eastAsia="zh-CN"/>
                <w14:textFill>
                  <w14:solidFill>
                    <w14:schemeClr w14:val="tx1">
                      <w14:lumMod w14:val="75000"/>
                      <w14:lumOff w14:val="25000"/>
                    </w14:schemeClr>
                  </w14:solidFill>
                </w14:textFill>
              </w:rPr>
              <w:t>户</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经理是OEM机构为了更好服务服务商创立的角色，其主要的特殊性在于更换客</w:t>
            </w:r>
            <w:r>
              <w:rPr>
                <w:rFonts w:hint="eastAsia" w:ascii="华文细黑" w:hAnsi="华文细黑" w:eastAsia="华文细黑" w:cs="宋体"/>
                <w:color w:val="404040" w:themeColor="text1" w:themeTint="BF"/>
                <w:kern w:val="0"/>
                <w:sz w:val="20"/>
                <w:szCs w:val="20"/>
                <w:lang w:val="en-US" w:eastAsia="zh-CN"/>
                <w14:textFill>
                  <w14:solidFill>
                    <w14:schemeClr w14:val="tx1">
                      <w14:lumMod w14:val="75000"/>
                      <w14:lumOff w14:val="25000"/>
                    </w14:schemeClr>
                  </w14:solidFill>
                </w14:textFill>
              </w:rPr>
              <w:t>户</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经理依旧可以看到服务商的历史数据，反过来陈诉就是服务商的历史业务数据全部都对所属</w:t>
            </w:r>
            <w:r>
              <w:rPr>
                <w:rFonts w:hint="eastAsia" w:ascii="华文细黑" w:hAnsi="华文细黑" w:eastAsia="华文细黑" w:cs="宋体"/>
                <w:color w:val="404040" w:themeColor="text1" w:themeTint="BF"/>
                <w:kern w:val="0"/>
                <w:sz w:val="20"/>
                <w:szCs w:val="20"/>
                <w:lang w:eastAsia="zh-CN"/>
                <w14:textFill>
                  <w14:solidFill>
                    <w14:schemeClr w14:val="tx1">
                      <w14:lumMod w14:val="75000"/>
                      <w14:lumOff w14:val="25000"/>
                    </w14:schemeClr>
                  </w14:solidFill>
                </w14:textFill>
              </w:rPr>
              <w:t>客户经理</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市场经理</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市场经理为OEM业务市场角色，一般是用来表示本服务商为本市场经理开发而来，但当服务商所属市场经理发生变化时，当前市场经理只能查看他绑定以后的改服务商的数据，如果之前绑定过其他市场经理，那么当前市场经理是无法查看到他绑定之前服务商在其他市场经理绑定时的数据的。</w:t>
            </w:r>
          </w:p>
        </w:tc>
      </w:tr>
    </w:tbl>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p>
    <w:p>
      <w:pPr>
        <w:jc w:val="cente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20" w:name="_Toc6949"/>
      <w:r>
        <w:rPr>
          <w:rFonts w:hint="eastAsia" w:ascii="华文细黑" w:hAnsi="华文细黑" w:eastAsia="华文细黑" w:cs="宋体"/>
          <w:color w:val="2F5597" w:themeColor="accent1" w:themeShade="BF"/>
          <w:sz w:val="28"/>
          <w:szCs w:val="28"/>
        </w:rPr>
        <w:t xml:space="preserve"> </w:t>
      </w:r>
      <w:bookmarkStart w:id="21" w:name="_Toc16598"/>
      <w:r>
        <w:rPr>
          <w:rFonts w:hint="eastAsia" w:ascii="华文细黑" w:hAnsi="华文细黑" w:eastAsia="华文细黑" w:cs="宋体"/>
          <w:color w:val="2F5597" w:themeColor="accent1" w:themeShade="BF"/>
          <w:sz w:val="28"/>
          <w:szCs w:val="28"/>
        </w:rPr>
        <w:t>个体户工具</w:t>
      </w:r>
      <w:bookmarkEnd w:id="20"/>
      <w:r>
        <w:rPr>
          <w:rFonts w:hint="eastAsia" w:ascii="华文细黑" w:hAnsi="华文细黑" w:eastAsia="华文细黑" w:cs="宋体"/>
          <w:color w:val="2F5597" w:themeColor="accent1" w:themeShade="BF"/>
          <w:sz w:val="28"/>
          <w:szCs w:val="28"/>
        </w:rPr>
        <w:t>后台登陆</w:t>
      </w:r>
      <w:bookmarkEnd w:id="21"/>
    </w:p>
    <w:p>
      <w:pPr>
        <w:pStyle w:val="4"/>
        <w:spacing w:after="0" w:line="240" w:lineRule="auto"/>
        <w:ind w:left="1145"/>
        <w:rPr>
          <w:rFonts w:ascii="华文细黑" w:hAnsi="华文细黑" w:eastAsia="华文细黑" w:cs="宋体"/>
          <w:color w:val="404040" w:themeColor="text1" w:themeTint="BF"/>
          <w:sz w:val="24"/>
          <w:szCs w:val="24"/>
          <w14:textFill>
            <w14:solidFill>
              <w14:schemeClr w14:val="tx1">
                <w14:lumMod w14:val="75000"/>
                <w14:lumOff w14:val="25000"/>
              </w14:schemeClr>
            </w14:solidFill>
          </w14:textFill>
        </w:rPr>
      </w:pPr>
      <w:bookmarkStart w:id="22" w:name="_Toc11314"/>
      <w:r>
        <w:rPr>
          <w:rFonts w:hint="eastAsia" w:ascii="华文细黑" w:hAnsi="华文细黑" w:eastAsia="华文细黑" w:cs="宋体"/>
          <w:color w:val="404040" w:themeColor="text1" w:themeTint="BF"/>
          <w:sz w:val="24"/>
          <w:szCs w:val="24"/>
          <w14:textFill>
            <w14:solidFill>
              <w14:schemeClr w14:val="tx1">
                <w14:lumMod w14:val="75000"/>
                <w14:lumOff w14:val="25000"/>
              </w14:schemeClr>
            </w14:solidFill>
          </w14:textFill>
        </w:rPr>
        <w:t>登录</w:t>
      </w:r>
      <w:bookmarkEnd w:id="22"/>
    </w:p>
    <w:p>
      <w:pPr>
        <w:pStyle w:val="24"/>
        <w:numPr>
          <w:ilvl w:val="0"/>
          <w:numId w:val="5"/>
        </w:numPr>
        <w:ind w:firstLineChars="0"/>
        <w:jc w:val="left"/>
        <w:rPr>
          <w:rFonts w:ascii="华文细黑" w:hAnsi="华文细黑" w:eastAsia="华文细黑"/>
          <w:sz w:val="24"/>
        </w:rPr>
      </w:pPr>
      <w:r>
        <w:rPr>
          <w:rFonts w:hint="eastAsia" w:ascii="华文细黑" w:hAnsi="华文细黑" w:eastAsia="华文细黑"/>
          <w:sz w:val="24"/>
        </w:rPr>
        <w:t>在浏览器中输入网址：https://itaxweb.zhugongyun.cn/itaxpc/#/login</w:t>
      </w:r>
    </w:p>
    <w:p>
      <w:pPr>
        <w:pStyle w:val="24"/>
        <w:ind w:left="927" w:firstLine="0" w:firstLineChars="0"/>
        <w:rPr>
          <w:rFonts w:ascii="华文细黑" w:hAnsi="华文细黑" w:eastAsia="华文细黑"/>
          <w:sz w:val="24"/>
        </w:rPr>
      </w:pPr>
      <w:r>
        <w:drawing>
          <wp:inline distT="0" distB="0" distL="114300" distR="114300">
            <wp:extent cx="7499985" cy="3851275"/>
            <wp:effectExtent l="0" t="0" r="571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
                    <a:stretch>
                      <a:fillRect/>
                    </a:stretch>
                  </pic:blipFill>
                  <pic:spPr>
                    <a:xfrm>
                      <a:off x="0" y="0"/>
                      <a:ext cx="7499985" cy="3851275"/>
                    </a:xfrm>
                    <a:prstGeom prst="rect">
                      <a:avLst/>
                    </a:prstGeom>
                    <a:noFill/>
                    <a:ln>
                      <a:noFill/>
                    </a:ln>
                  </pic:spPr>
                </pic:pic>
              </a:graphicData>
            </a:graphic>
          </wp:inline>
        </w:drawing>
      </w:r>
    </w:p>
    <w:p>
      <w:pPr>
        <w:pStyle w:val="24"/>
        <w:numPr>
          <w:ilvl w:val="0"/>
          <w:numId w:val="5"/>
        </w:numPr>
        <w:ind w:firstLineChars="0"/>
        <w:rPr>
          <w:rFonts w:ascii="华文细黑" w:hAnsi="华文细黑" w:eastAsia="华文细黑"/>
          <w:sz w:val="24"/>
        </w:rPr>
      </w:pPr>
      <w:r>
        <w:rPr>
          <w:rFonts w:hint="eastAsia" w:ascii="华文细黑" w:hAnsi="华文细黑" w:eastAsia="华文细黑"/>
          <w:sz w:val="24"/>
        </w:rPr>
        <w:t>输入正确的账号密码（平台运营人员给予），点击获取验证码，填入正确的验证码点击登录即可进入运营后台。</w:t>
      </w:r>
    </w:p>
    <w:p>
      <w:pPr>
        <w:pStyle w:val="24"/>
        <w:numPr>
          <w:ilvl w:val="0"/>
          <w:numId w:val="5"/>
        </w:numPr>
        <w:ind w:firstLineChars="0"/>
        <w:rPr>
          <w:rFonts w:ascii="华文细黑" w:hAnsi="华文细黑" w:eastAsia="华文细黑"/>
          <w:sz w:val="24"/>
        </w:rPr>
      </w:pPr>
      <w:r>
        <w:rPr>
          <w:rFonts w:hint="eastAsia" w:ascii="华文细黑" w:hAnsi="华文细黑" w:eastAsia="华文细黑"/>
          <w:sz w:val="24"/>
        </w:rPr>
        <w:t>忘记密码：如果忘记密码，可以点击登录框的忘记密码按钮，弹出修改密码的弹窗，输入正确的验证码后填入两次新密码即可修改成功。</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7387590" cy="5011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406203" cy="5024146"/>
                    </a:xfrm>
                    <a:prstGeom prst="rect">
                      <a:avLst/>
                    </a:prstGeom>
                  </pic:spPr>
                </pic:pic>
              </a:graphicData>
            </a:graphic>
          </wp:inline>
        </w:drawing>
      </w: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23" w:name="_Toc25745"/>
      <w:r>
        <w:rPr>
          <w:rFonts w:hint="eastAsia" w:ascii="华文细黑" w:hAnsi="华文细黑" w:eastAsia="华文细黑" w:cs="宋体"/>
          <w:color w:val="2F5597" w:themeColor="accent1" w:themeShade="BF"/>
          <w:sz w:val="28"/>
          <w:szCs w:val="28"/>
          <w:lang w:val="en-US" w:eastAsia="zh-CN"/>
        </w:rPr>
        <w:t>操作用户管理</w:t>
      </w:r>
      <w:bookmarkEnd w:id="23"/>
    </w:p>
    <w:p>
      <w:pPr>
        <w:pStyle w:val="24"/>
        <w:numPr>
          <w:ilvl w:val="0"/>
          <w:numId w:val="6"/>
        </w:numPr>
        <w:ind w:hanging="76" w:firstLineChars="0"/>
        <w:rPr>
          <w:rFonts w:ascii="华文细黑" w:hAnsi="华文细黑" w:eastAsia="华文细黑"/>
          <w:sz w:val="24"/>
        </w:rPr>
      </w:pPr>
      <w:r>
        <w:rPr>
          <w:rFonts w:hint="eastAsia" w:ascii="华文细黑" w:hAnsi="华文细黑" w:eastAsia="华文细黑"/>
          <w:sz w:val="24"/>
          <w:lang w:val="en-US" w:eastAsia="zh-CN"/>
        </w:rPr>
        <w:t>OEM机构管理员/运营主管可以在系统管理-用户管理维护OEM机构的操作员用户。</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7539355" cy="33864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a:stretch>
                      <a:fillRect/>
                    </a:stretch>
                  </pic:blipFill>
                  <pic:spPr>
                    <a:xfrm>
                      <a:off x="0" y="0"/>
                      <a:ext cx="7561123" cy="3396459"/>
                    </a:xfrm>
                    <a:prstGeom prst="rect">
                      <a:avLst/>
                    </a:prstGeom>
                  </pic:spPr>
                </pic:pic>
              </a:graphicData>
            </a:graphic>
          </wp:inline>
        </w:drawing>
      </w:r>
    </w:p>
    <w:p>
      <w:pPr>
        <w:pStyle w:val="24"/>
        <w:numPr>
          <w:ilvl w:val="0"/>
          <w:numId w:val="6"/>
        </w:numPr>
        <w:ind w:hanging="76" w:firstLineChars="0"/>
        <w:rPr>
          <w:rFonts w:ascii="华文细黑" w:hAnsi="华文细黑" w:eastAsia="华文细黑"/>
          <w:sz w:val="24"/>
        </w:rPr>
      </w:pPr>
      <w:r>
        <w:rPr>
          <w:rFonts w:hint="eastAsia" w:ascii="华文细黑" w:hAnsi="华文细黑" w:eastAsia="华文细黑"/>
          <w:sz w:val="24"/>
        </w:rPr>
        <w:t>点击“新增”进行用户新增，依照界面编辑用户账户、归属组织、用户昵称、用户密码和手机号等用户信息，还有就是用户类型的关键信息，用户类型分为普通用户和客户经理、市场经理（业务相关角色，两个角色在数据权限上有区别，详细解释见</w:t>
      </w:r>
      <w:r>
        <w:fldChar w:fldCharType="begin"/>
      </w:r>
      <w:r>
        <w:instrText xml:space="preserve"> HYPERLINK \l "_名词释义" </w:instrText>
      </w:r>
      <w:r>
        <w:fldChar w:fldCharType="separate"/>
      </w:r>
      <w:r>
        <w:rPr>
          <w:rStyle w:val="15"/>
          <w:rFonts w:hint="eastAsia" w:ascii="华文细黑" w:hAnsi="华文细黑" w:eastAsia="华文细黑"/>
          <w:i/>
          <w:iCs/>
          <w:sz w:val="24"/>
        </w:rPr>
        <w:t>名词释义</w:t>
      </w:r>
      <w:r>
        <w:rPr>
          <w:rStyle w:val="15"/>
          <w:rFonts w:hint="eastAsia" w:ascii="华文细黑" w:hAnsi="华文细黑" w:eastAsia="华文细黑"/>
          <w:i/>
          <w:iCs/>
          <w:sz w:val="24"/>
        </w:rPr>
        <w:fldChar w:fldCharType="end"/>
      </w:r>
      <w:r>
        <w:rPr>
          <w:rFonts w:hint="eastAsia" w:ascii="华文细黑" w:hAnsi="华文细黑" w:eastAsia="华文细黑"/>
          <w:sz w:val="24"/>
        </w:rPr>
        <w:t>）等。</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6941820" cy="42932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stretch>
                      <a:fillRect/>
                    </a:stretch>
                  </pic:blipFill>
                  <pic:spPr>
                    <a:xfrm>
                      <a:off x="0" y="0"/>
                      <a:ext cx="6966949" cy="4309108"/>
                    </a:xfrm>
                    <a:prstGeom prst="rect">
                      <a:avLst/>
                    </a:prstGeom>
                  </pic:spPr>
                </pic:pic>
              </a:graphicData>
            </a:graphic>
          </wp:inline>
        </w:drawing>
      </w:r>
    </w:p>
    <w:p>
      <w:pPr>
        <w:pStyle w:val="24"/>
        <w:numPr>
          <w:ilvl w:val="0"/>
          <w:numId w:val="7"/>
        </w:numPr>
        <w:ind w:left="927" w:firstLine="0" w:firstLineChars="0"/>
        <w:rPr>
          <w:rFonts w:hint="eastAsia" w:ascii="华文细黑" w:hAnsi="华文细黑" w:eastAsia="华文细黑"/>
          <w:sz w:val="24"/>
          <w:lang w:val="en-US" w:eastAsia="zh-CN"/>
        </w:rPr>
      </w:pPr>
      <w:r>
        <w:rPr>
          <w:rFonts w:hint="eastAsia" w:ascii="华文细黑" w:hAnsi="华文细黑" w:eastAsia="华文细黑"/>
          <w:sz w:val="24"/>
          <w:lang w:val="en-US" w:eastAsia="zh-CN"/>
        </w:rPr>
        <w:t>可对操作用户进行编辑和删除操作。</w:t>
      </w:r>
    </w:p>
    <w:p>
      <w:pPr>
        <w:pStyle w:val="24"/>
        <w:numPr>
          <w:ilvl w:val="0"/>
          <w:numId w:val="7"/>
        </w:numPr>
        <w:ind w:left="927" w:firstLine="0" w:firstLineChars="0"/>
        <w:rPr>
          <w:rFonts w:hint="default" w:ascii="华文细黑" w:hAnsi="华文细黑" w:eastAsia="华文细黑"/>
          <w:sz w:val="24"/>
          <w:lang w:val="en-US" w:eastAsia="zh-CN"/>
        </w:rPr>
      </w:pPr>
      <w:r>
        <w:rPr>
          <w:rFonts w:hint="eastAsia" w:ascii="华文细黑" w:hAnsi="华文细黑" w:eastAsia="华文细黑"/>
          <w:sz w:val="24"/>
          <w:lang w:val="en-US" w:eastAsia="zh-CN"/>
        </w:rPr>
        <w:t>禁用/解禁：在列表中将状态关闭即将用户进行了禁用，禁用后的用户禁止登陆，重新打开后即可恢复正常</w:t>
      </w: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24" w:name="_Toc23886"/>
      <w:r>
        <w:rPr>
          <w:rFonts w:hint="eastAsia" w:ascii="华文细黑" w:hAnsi="华文细黑" w:eastAsia="华文细黑" w:cs="宋体"/>
          <w:color w:val="2F5597" w:themeColor="accent1" w:themeShade="BF"/>
          <w:sz w:val="28"/>
          <w:szCs w:val="28"/>
          <w:lang w:val="en-US" w:eastAsia="zh-CN"/>
        </w:rPr>
        <w:t>签约园区管理</w:t>
      </w:r>
      <w:bookmarkEnd w:id="24"/>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25" w:name="_Toc6654"/>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前置步骤</w:t>
      </w:r>
      <w:bookmarkEnd w:id="25"/>
    </w:p>
    <w:p>
      <w:pPr>
        <w:numPr>
          <w:ilvl w:val="0"/>
          <w:numId w:val="8"/>
        </w:numPr>
        <w:ind w:left="420" w:leftChars="0" w:firstLine="420" w:firstLineChars="0"/>
        <w:rPr>
          <w:rFonts w:hint="default"/>
          <w:lang w:val="en-US" w:eastAsia="zh-CN"/>
        </w:rPr>
      </w:pPr>
      <w:r>
        <w:rPr>
          <w:rFonts w:hint="eastAsia"/>
          <w:lang w:val="en-US" w:eastAsia="zh-CN"/>
        </w:rPr>
        <w:t>OEM机构向平台运营提交园区上架相关资料和服务商政策</w:t>
      </w:r>
    </w:p>
    <w:p>
      <w:pPr>
        <w:numPr>
          <w:ilvl w:val="0"/>
          <w:numId w:val="8"/>
        </w:numPr>
        <w:ind w:left="420" w:leftChars="0" w:firstLine="420" w:firstLineChars="0"/>
        <w:rPr>
          <w:rFonts w:hint="default"/>
          <w:lang w:val="en-US" w:eastAsia="zh-CN"/>
        </w:rPr>
      </w:pPr>
      <w:r>
        <w:rPr>
          <w:rFonts w:hint="eastAsia"/>
          <w:lang w:val="en-US" w:eastAsia="zh-CN"/>
        </w:rPr>
        <w:t>由平台运营将该园区上架至平台，并在平台完成园区和该OEM机构的签约</w:t>
      </w: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26" w:name="_Toc2536"/>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查看签约园区列表</w:t>
      </w:r>
      <w:bookmarkEnd w:id="26"/>
    </w:p>
    <w:p>
      <w:pPr>
        <w:numPr>
          <w:ilvl w:val="0"/>
          <w:numId w:val="9"/>
        </w:numPr>
        <w:ind w:left="420" w:leftChars="0" w:firstLine="420" w:firstLineChars="0"/>
        <w:rPr>
          <w:rFonts w:hint="default"/>
          <w:lang w:val="en-US" w:eastAsia="zh-CN"/>
        </w:rPr>
      </w:pPr>
      <w:r>
        <w:rPr>
          <w:rFonts w:hint="eastAsia"/>
          <w:lang w:val="en-US" w:eastAsia="zh-CN"/>
        </w:rPr>
        <w:t>在完成前置步骤后，OEM机构管理员/运营主管即可在基础数据配置-签约园区管理页面看到该园区。</w:t>
      </w:r>
    </w:p>
    <w:p>
      <w:pPr>
        <w:numPr>
          <w:numId w:val="0"/>
        </w:numPr>
        <w:rPr>
          <w:rFonts w:hint="eastAsia"/>
          <w:lang w:val="en-US" w:eastAsia="zh-CN"/>
        </w:rPr>
      </w:pPr>
      <w:r>
        <w:drawing>
          <wp:inline distT="0" distB="0" distL="114300" distR="114300">
            <wp:extent cx="8331835" cy="2343150"/>
            <wp:effectExtent l="0" t="0" r="12065" b="635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8331835" cy="2343150"/>
                    </a:xfrm>
                    <a:prstGeom prst="rect">
                      <a:avLst/>
                    </a:prstGeom>
                    <a:noFill/>
                    <a:ln>
                      <a:noFill/>
                    </a:ln>
                  </pic:spPr>
                </pic:pic>
              </a:graphicData>
            </a:graphic>
          </wp:inline>
        </w:drawing>
      </w:r>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27" w:name="_Toc14376"/>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可操作功能</w:t>
      </w:r>
      <w:bookmarkEnd w:id="27"/>
    </w:p>
    <w:p>
      <w:pPr>
        <w:numPr>
          <w:ilvl w:val="0"/>
          <w:numId w:val="10"/>
        </w:numPr>
        <w:ind w:left="420" w:leftChars="0" w:firstLine="420" w:firstLineChars="0"/>
        <w:rPr>
          <w:rFonts w:hint="default"/>
          <w:lang w:val="en-US" w:eastAsia="zh-CN"/>
        </w:rPr>
      </w:pPr>
      <w:r>
        <w:rPr>
          <w:rFonts w:hint="eastAsia"/>
          <w:lang w:val="en-US" w:eastAsia="zh-CN"/>
        </w:rPr>
        <w:t>签约状态</w:t>
      </w:r>
    </w:p>
    <w:p>
      <w:pPr>
        <w:numPr>
          <w:numId w:val="0"/>
        </w:numPr>
        <w:ind w:left="840" w:leftChars="0"/>
        <w:rPr>
          <w:rFonts w:hint="eastAsia"/>
          <w:lang w:val="en-US" w:eastAsia="zh-CN"/>
        </w:rPr>
      </w:pPr>
      <w:r>
        <w:rPr>
          <w:rFonts w:hint="eastAsia"/>
          <w:lang w:val="en-US" w:eastAsia="zh-CN"/>
        </w:rPr>
        <w:t>已上架：即在服务商H5端可供服务商选择申请注册个体户</w:t>
      </w:r>
    </w:p>
    <w:p>
      <w:pPr>
        <w:numPr>
          <w:numId w:val="0"/>
        </w:numPr>
        <w:ind w:left="840" w:leftChars="0"/>
        <w:rPr>
          <w:rFonts w:hint="default"/>
          <w:lang w:val="en-US" w:eastAsia="zh-CN"/>
        </w:rPr>
      </w:pPr>
      <w:r>
        <w:rPr>
          <w:rFonts w:hint="eastAsia"/>
          <w:lang w:val="en-US" w:eastAsia="zh-CN"/>
        </w:rPr>
        <w:t>已暂停：即停止服务商H5端的个体户注册申请，但不影响已提交的注册申请单和已完成注册的个体户的开票，可恢复上架</w:t>
      </w:r>
    </w:p>
    <w:p>
      <w:pPr>
        <w:numPr>
          <w:numId w:val="0"/>
        </w:numPr>
        <w:ind w:left="840" w:leftChars="0"/>
        <w:rPr>
          <w:rFonts w:hint="eastAsia"/>
          <w:lang w:val="en-US" w:eastAsia="zh-CN"/>
        </w:rPr>
      </w:pPr>
      <w:r>
        <w:rPr>
          <w:rFonts w:hint="eastAsia"/>
          <w:lang w:val="en-US" w:eastAsia="zh-CN"/>
        </w:rPr>
        <w:t>已下架：同已暂停，可重新上架</w:t>
      </w:r>
    </w:p>
    <w:p>
      <w:pPr>
        <w:numPr>
          <w:ilvl w:val="0"/>
          <w:numId w:val="10"/>
        </w:numPr>
        <w:ind w:left="420" w:leftChars="0" w:firstLine="420" w:firstLineChars="0"/>
        <w:rPr>
          <w:rFonts w:hint="default"/>
          <w:lang w:val="en-US" w:eastAsia="zh-CN"/>
        </w:rPr>
      </w:pPr>
      <w:r>
        <w:rPr>
          <w:rFonts w:hint="eastAsia"/>
          <w:lang w:val="en-US" w:eastAsia="zh-CN"/>
        </w:rPr>
        <w:t>排序：可对已签约的园区进行排序，序号越大，在服务商H5端的园区列表显示越靠前。</w:t>
      </w:r>
    </w:p>
    <w:p>
      <w:pPr>
        <w:numPr>
          <w:numId w:val="0"/>
        </w:numPr>
        <w:ind w:left="840" w:leftChars="0"/>
        <w:rPr>
          <w:rFonts w:hint="default"/>
          <w:lang w:val="en-US" w:eastAsia="zh-CN"/>
        </w:rPr>
      </w:pPr>
      <w:r>
        <w:drawing>
          <wp:inline distT="0" distB="0" distL="114300" distR="114300">
            <wp:extent cx="4349750" cy="1993900"/>
            <wp:effectExtent l="0" t="0" r="635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3"/>
                    <a:stretch>
                      <a:fillRect/>
                    </a:stretch>
                  </pic:blipFill>
                  <pic:spPr>
                    <a:xfrm>
                      <a:off x="0" y="0"/>
                      <a:ext cx="4349750" cy="1993900"/>
                    </a:xfrm>
                    <a:prstGeom prst="rect">
                      <a:avLst/>
                    </a:prstGeom>
                    <a:noFill/>
                    <a:ln>
                      <a:noFill/>
                    </a:ln>
                  </pic:spPr>
                </pic:pic>
              </a:graphicData>
            </a:graphic>
          </wp:inline>
        </w:drawing>
      </w:r>
    </w:p>
    <w:p>
      <w:pPr>
        <w:numPr>
          <w:ilvl w:val="0"/>
          <w:numId w:val="10"/>
        </w:numPr>
        <w:ind w:left="420" w:leftChars="0" w:firstLine="420" w:firstLineChars="0"/>
        <w:rPr>
          <w:rFonts w:hint="default"/>
          <w:lang w:val="en-US" w:eastAsia="zh-CN"/>
        </w:rPr>
      </w:pPr>
      <w:r>
        <w:rPr>
          <w:rFonts w:hint="eastAsia"/>
          <w:lang w:val="en-US" w:eastAsia="zh-CN"/>
        </w:rPr>
        <w:t>查看渠道政策：可以查看该签约园区对不同渠道等级的结算价列表。</w:t>
      </w:r>
    </w:p>
    <w:p>
      <w:pPr>
        <w:numPr>
          <w:numId w:val="0"/>
        </w:numPr>
        <w:ind w:left="840" w:leftChars="0"/>
        <w:rPr>
          <w:rFonts w:hint="default"/>
          <w:lang w:val="en-US" w:eastAsia="zh-CN"/>
        </w:rPr>
      </w:pPr>
      <w:r>
        <w:drawing>
          <wp:inline distT="0" distB="0" distL="114300" distR="114300">
            <wp:extent cx="8331835" cy="3881120"/>
            <wp:effectExtent l="0" t="0" r="12065" b="508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4"/>
                    <a:stretch>
                      <a:fillRect/>
                    </a:stretch>
                  </pic:blipFill>
                  <pic:spPr>
                    <a:xfrm>
                      <a:off x="0" y="0"/>
                      <a:ext cx="8331835" cy="3881120"/>
                    </a:xfrm>
                    <a:prstGeom prst="rect">
                      <a:avLst/>
                    </a:prstGeom>
                    <a:noFill/>
                    <a:ln>
                      <a:noFill/>
                    </a:ln>
                  </pic:spPr>
                </pic:pic>
              </a:graphicData>
            </a:graphic>
          </wp:inline>
        </w:drawing>
      </w:r>
    </w:p>
    <w:p>
      <w:pPr>
        <w:pStyle w:val="24"/>
        <w:ind w:left="1287" w:firstLine="0" w:firstLineChars="0"/>
        <w:rPr>
          <w:rFonts w:ascii="华文细黑" w:hAnsi="华文细黑" w:eastAsia="华文细黑"/>
          <w:sz w:val="24"/>
        </w:rPr>
      </w:pPr>
    </w:p>
    <w:p>
      <w:pPr>
        <w:pStyle w:val="3"/>
        <w:spacing w:before="120" w:after="120" w:line="240" w:lineRule="auto"/>
        <w:ind w:left="578" w:hanging="578"/>
        <w:rPr>
          <w:rFonts w:hint="eastAsia" w:ascii="华文细黑" w:hAnsi="华文细黑" w:eastAsia="华文细黑" w:cs="宋体"/>
          <w:color w:val="2F5597" w:themeColor="accent1" w:themeShade="BF"/>
          <w:sz w:val="28"/>
          <w:szCs w:val="28"/>
          <w:lang w:val="en-US" w:eastAsia="zh-CN"/>
        </w:rPr>
      </w:pPr>
      <w:bookmarkStart w:id="28" w:name="_Toc9116"/>
      <w:r>
        <w:rPr>
          <w:rFonts w:hint="eastAsia" w:ascii="华文细黑" w:hAnsi="华文细黑" w:eastAsia="华文细黑" w:cs="宋体"/>
          <w:color w:val="2F5597" w:themeColor="accent1" w:themeShade="BF"/>
          <w:sz w:val="28"/>
          <w:szCs w:val="28"/>
          <w:lang w:val="en-US" w:eastAsia="zh-CN"/>
        </w:rPr>
        <w:t>服务商政策管理</w:t>
      </w:r>
      <w:bookmarkEnd w:id="28"/>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29" w:name="_Toc28178"/>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前置步骤</w:t>
      </w:r>
      <w:bookmarkEnd w:id="29"/>
    </w:p>
    <w:p>
      <w:pPr>
        <w:numPr>
          <w:ilvl w:val="0"/>
          <w:numId w:val="11"/>
        </w:numPr>
        <w:ind w:left="420" w:leftChars="0" w:firstLine="420" w:firstLineChars="0"/>
        <w:rPr>
          <w:rFonts w:hint="default"/>
          <w:lang w:val="en-US" w:eastAsia="zh-CN"/>
        </w:rPr>
      </w:pPr>
      <w:r>
        <w:rPr>
          <w:rFonts w:hint="eastAsia"/>
          <w:lang w:val="en-US" w:eastAsia="zh-CN"/>
        </w:rPr>
        <w:t>平台运营已经根据OEM机构提供的资料完成OEM机构服务商政策的添加。</w:t>
      </w:r>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30" w:name="_Toc23023"/>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查看服务商政策</w:t>
      </w:r>
      <w:bookmarkEnd w:id="30"/>
    </w:p>
    <w:p>
      <w:pPr>
        <w:numPr>
          <w:ilvl w:val="0"/>
          <w:numId w:val="12"/>
        </w:numPr>
        <w:ind w:left="420" w:leftChars="0" w:firstLine="420" w:firstLineChars="0"/>
        <w:rPr>
          <w:rFonts w:hint="default"/>
          <w:lang w:val="en-US" w:eastAsia="zh-CN"/>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OEM机构可以查看平台为自己配置的服务商政策列表。</w:t>
      </w:r>
      <w:r>
        <w:rPr>
          <w:rFonts w:hint="eastAsia"/>
          <w:lang w:val="en-US" w:eastAsia="zh-CN"/>
        </w:rPr>
        <w:t>（暂不开放OEM机构自行添加和编辑服务商政策，如有需要，请联系平台运营进行操作。）</w:t>
      </w:r>
    </w:p>
    <w:p>
      <w:r>
        <w:drawing>
          <wp:inline distT="0" distB="0" distL="114300" distR="114300">
            <wp:extent cx="8328660" cy="2857500"/>
            <wp:effectExtent l="0" t="0" r="254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5"/>
                    <a:stretch>
                      <a:fillRect/>
                    </a:stretch>
                  </pic:blipFill>
                  <pic:spPr>
                    <a:xfrm>
                      <a:off x="0" y="0"/>
                      <a:ext cx="8328660" cy="2857500"/>
                    </a:xfrm>
                    <a:prstGeom prst="rect">
                      <a:avLst/>
                    </a:prstGeom>
                    <a:noFill/>
                    <a:ln>
                      <a:noFill/>
                    </a:ln>
                  </pic:spPr>
                </pic:pic>
              </a:graphicData>
            </a:graphic>
          </wp:inline>
        </w:drawing>
      </w:r>
    </w:p>
    <w:p>
      <w:pPr>
        <w:numPr>
          <w:ilvl w:val="0"/>
          <w:numId w:val="12"/>
        </w:numPr>
        <w:ind w:left="420" w:leftChars="0" w:firstLine="420" w:firstLineChars="0"/>
        <w:rPr>
          <w:rFonts w:hint="default" w:eastAsia="宋体"/>
          <w:lang w:val="en-US" w:eastAsia="zh-CN"/>
        </w:rPr>
      </w:pPr>
      <w:r>
        <w:rPr>
          <w:rFonts w:hint="eastAsia"/>
          <w:lang w:val="en-US" w:eastAsia="zh-CN"/>
        </w:rPr>
        <w:t>点击“详情”可以查看该条服务商政策中每个园区各项收费的结算价。</w:t>
      </w:r>
    </w:p>
    <w:p>
      <w:pPr>
        <w:numPr>
          <w:numId w:val="0"/>
        </w:numPr>
      </w:pPr>
      <w:r>
        <w:drawing>
          <wp:inline distT="0" distB="0" distL="114300" distR="114300">
            <wp:extent cx="8336280" cy="3169920"/>
            <wp:effectExtent l="0" t="0" r="7620" b="508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6"/>
                    <a:stretch>
                      <a:fillRect/>
                    </a:stretch>
                  </pic:blipFill>
                  <pic:spPr>
                    <a:xfrm>
                      <a:off x="0" y="0"/>
                      <a:ext cx="8336280" cy="3169920"/>
                    </a:xfrm>
                    <a:prstGeom prst="rect">
                      <a:avLst/>
                    </a:prstGeom>
                    <a:noFill/>
                    <a:ln>
                      <a:noFill/>
                    </a:ln>
                  </pic:spPr>
                </pic:pic>
              </a:graphicData>
            </a:graphic>
          </wp:inline>
        </w:drawing>
      </w:r>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31" w:name="_Toc8076"/>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政策下架</w:t>
      </w:r>
      <w:bookmarkEnd w:id="31"/>
    </w:p>
    <w:p>
      <w:pPr>
        <w:ind w:left="420" w:leftChars="0" w:firstLine="420" w:firstLineChars="0"/>
        <w:rPr>
          <w:rFonts w:hint="default"/>
          <w:lang w:val="en-US" w:eastAsia="zh-CN"/>
        </w:rPr>
      </w:pPr>
      <w:r>
        <w:rPr>
          <w:rFonts w:hint="eastAsia"/>
          <w:lang w:val="en-US" w:eastAsia="zh-CN"/>
        </w:rPr>
        <w:t>OEM机构管理员/运营主管可将不存在未注销的服务商的服务商政策进行下架操作。下架后服务商无法选择该政策，无法恢复上架，只能另外新增政策。</w:t>
      </w:r>
    </w:p>
    <w:p>
      <w:pPr>
        <w:pStyle w:val="24"/>
        <w:ind w:left="1287" w:firstLine="0" w:firstLineChars="0"/>
        <w:rPr>
          <w:rFonts w:ascii="华文细黑" w:hAnsi="华文细黑" w:eastAsia="华文细黑"/>
          <w:sz w:val="24"/>
        </w:rPr>
      </w:pPr>
      <w:r>
        <w:rPr>
          <w:rFonts w:ascii="华文细黑" w:hAnsi="华文细黑" w:eastAsia="华文细黑"/>
          <w:sz w:val="24"/>
        </w:rPr>
        <w:drawing>
          <wp:inline distT="0" distB="0" distL="0" distR="0">
            <wp:extent cx="7454900" cy="41986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7462189" cy="4202809"/>
                    </a:xfrm>
                    <a:prstGeom prst="rect">
                      <a:avLst/>
                    </a:prstGeom>
                  </pic:spPr>
                </pic:pic>
              </a:graphicData>
            </a:graphic>
          </wp:inline>
        </w:drawing>
      </w:r>
    </w:p>
    <w:p>
      <w:pPr>
        <w:pStyle w:val="3"/>
        <w:spacing w:before="120" w:after="120" w:line="240" w:lineRule="auto"/>
        <w:ind w:left="578" w:hanging="578"/>
        <w:rPr>
          <w:rFonts w:hint="default" w:ascii="华文细黑" w:hAnsi="华文细黑" w:eastAsia="华文细黑" w:cs="宋体"/>
          <w:color w:val="2F5597" w:themeColor="accent1" w:themeShade="BF"/>
          <w:sz w:val="28"/>
          <w:szCs w:val="28"/>
          <w:lang w:val="en-US" w:eastAsia="zh-CN"/>
        </w:rPr>
      </w:pPr>
      <w:bookmarkStart w:id="32" w:name="_Toc12868"/>
      <w:r>
        <w:rPr>
          <w:rFonts w:hint="eastAsia" w:ascii="华文细黑" w:hAnsi="华文细黑" w:eastAsia="华文细黑" w:cs="宋体"/>
          <w:color w:val="2F5597" w:themeColor="accent1" w:themeShade="BF"/>
          <w:sz w:val="28"/>
          <w:szCs w:val="28"/>
          <w:lang w:val="en-US" w:eastAsia="zh-CN"/>
        </w:rPr>
        <w:t>服务商管理</w:t>
      </w:r>
      <w:bookmarkEnd w:id="32"/>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33" w:name="_Toc4577"/>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前置步骤</w:t>
      </w:r>
      <w:bookmarkEnd w:id="33"/>
    </w:p>
    <w:p>
      <w:pPr>
        <w:numPr>
          <w:ilvl w:val="0"/>
          <w:numId w:val="13"/>
        </w:numPr>
        <w:ind w:left="420" w:leftChars="0" w:firstLine="420" w:firstLineChars="0"/>
        <w:rPr>
          <w:rFonts w:hint="default"/>
          <w:lang w:val="en-US" w:eastAsia="zh-CN"/>
        </w:rPr>
      </w:pPr>
      <w:r>
        <w:rPr>
          <w:rFonts w:hint="eastAsia"/>
          <w:lang w:val="en-US" w:eastAsia="zh-CN"/>
        </w:rPr>
        <w:t>OEM机构已添加自己的客户经理</w:t>
      </w:r>
    </w:p>
    <w:p>
      <w:pPr>
        <w:numPr>
          <w:ilvl w:val="0"/>
          <w:numId w:val="13"/>
        </w:numPr>
        <w:ind w:left="420" w:leftChars="0" w:firstLine="420" w:firstLineChars="0"/>
        <w:rPr>
          <w:rFonts w:hint="default"/>
          <w:lang w:val="en-US" w:eastAsia="zh-CN"/>
        </w:rPr>
      </w:pPr>
      <w:r>
        <w:rPr>
          <w:rFonts w:hint="eastAsia"/>
          <w:lang w:val="en-US" w:eastAsia="zh-CN"/>
        </w:rPr>
        <w:t>OEM机构已配置好服务商政策</w:t>
      </w:r>
    </w:p>
    <w:p>
      <w:pPr>
        <w:pStyle w:val="4"/>
        <w:spacing w:after="0" w:line="240" w:lineRule="auto"/>
        <w:ind w:left="1145"/>
        <w:rPr>
          <w:rFonts w:hint="default"/>
          <w:lang w:val="en-US" w:eastAsia="zh-CN"/>
        </w:rPr>
      </w:pPr>
      <w:bookmarkStart w:id="34" w:name="_Toc9319"/>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查看服务商列表</w:t>
      </w:r>
      <w:bookmarkEnd w:id="34"/>
    </w:p>
    <w:p>
      <w:pPr>
        <w:numPr>
          <w:ilvl w:val="0"/>
          <w:numId w:val="14"/>
        </w:numPr>
        <w:ind w:left="420" w:leftChars="0" w:firstLine="420" w:firstLineChars="0"/>
        <w:rPr>
          <w:rFonts w:hint="default"/>
          <w:lang w:val="en-US" w:eastAsia="zh-CN"/>
        </w:rPr>
      </w:pPr>
      <w:r>
        <w:rPr>
          <w:rFonts w:hint="eastAsia"/>
          <w:lang w:val="en-US" w:eastAsia="zh-CN"/>
        </w:rPr>
        <w:t>OEM机构管理员/运营主管可以在“服务商管理-服务商列表”查看OEM机构下的所有服务商列表。</w:t>
      </w:r>
    </w:p>
    <w:p>
      <w:pPr>
        <w:numPr>
          <w:ilvl w:val="0"/>
          <w:numId w:val="14"/>
        </w:numPr>
        <w:ind w:left="420" w:leftChars="0" w:firstLine="420" w:firstLineChars="0"/>
        <w:rPr>
          <w:rFonts w:hint="default"/>
          <w:lang w:val="en-US" w:eastAsia="zh-CN"/>
        </w:rPr>
      </w:pPr>
      <w:r>
        <w:rPr>
          <w:rFonts w:hint="eastAsia"/>
          <w:lang w:val="en-US" w:eastAsia="zh-CN"/>
        </w:rPr>
        <w:t>OEM机构的客户经理/市场经理在本页面只能看到归属于自己账号的服务商列表</w:t>
      </w:r>
    </w:p>
    <w:p>
      <w:pPr>
        <w:pStyle w:val="24"/>
        <w:rPr>
          <w:rFonts w:ascii="华文细黑" w:hAnsi="华文细黑" w:eastAsia="华文细黑"/>
          <w:sz w:val="24"/>
        </w:rPr>
      </w:pPr>
      <w:r>
        <w:drawing>
          <wp:inline distT="0" distB="0" distL="114300" distR="114300">
            <wp:extent cx="8336280" cy="2800350"/>
            <wp:effectExtent l="0" t="0" r="7620"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8"/>
                    <a:stretch>
                      <a:fillRect/>
                    </a:stretch>
                  </pic:blipFill>
                  <pic:spPr>
                    <a:xfrm>
                      <a:off x="0" y="0"/>
                      <a:ext cx="8336280" cy="2800350"/>
                    </a:xfrm>
                    <a:prstGeom prst="rect">
                      <a:avLst/>
                    </a:prstGeom>
                    <a:noFill/>
                    <a:ln>
                      <a:noFill/>
                    </a:ln>
                  </pic:spPr>
                </pic:pic>
              </a:graphicData>
            </a:graphic>
          </wp:inline>
        </w:drawing>
      </w:r>
    </w:p>
    <w:p>
      <w:pPr>
        <w:pStyle w:val="24"/>
        <w:numPr>
          <w:ilvl w:val="0"/>
          <w:numId w:val="14"/>
        </w:numPr>
        <w:ind w:left="420" w:leftChars="0" w:firstLine="420" w:firstLineChars="0"/>
        <w:rPr>
          <w:rFonts w:hint="default" w:ascii="华文细黑" w:hAnsi="华文细黑" w:eastAsia="华文细黑"/>
          <w:sz w:val="24"/>
          <w:lang w:val="en-US" w:eastAsia="zh-CN"/>
        </w:rPr>
      </w:pPr>
      <w:r>
        <w:rPr>
          <w:rFonts w:hint="eastAsia" w:ascii="华文细黑" w:hAnsi="华文细黑" w:eastAsia="华文细黑"/>
          <w:sz w:val="24"/>
          <w:lang w:val="en-US" w:eastAsia="zh-CN"/>
        </w:rPr>
        <w:t>点击详情可以查看服务商的详细信息</w:t>
      </w:r>
    </w:p>
    <w:p>
      <w:pPr>
        <w:pStyle w:val="24"/>
        <w:numPr>
          <w:numId w:val="0"/>
        </w:numPr>
      </w:pP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35" w:name="_Toc11951"/>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新增服务商</w:t>
      </w:r>
      <w:bookmarkEnd w:id="35"/>
    </w:p>
    <w:p>
      <w:pPr>
        <w:numPr>
          <w:ilvl w:val="0"/>
          <w:numId w:val="15"/>
        </w:numPr>
        <w:ind w:left="420" w:leftChars="0" w:firstLine="420" w:firstLineChars="0"/>
        <w:rPr>
          <w:rFonts w:hint="default"/>
          <w:lang w:val="en-US" w:eastAsia="zh-CN"/>
        </w:rPr>
      </w:pPr>
      <w:r>
        <w:rPr>
          <w:rFonts w:hint="eastAsia"/>
          <w:lang w:val="en-US" w:eastAsia="zh-CN"/>
        </w:rPr>
        <w:t>打开“服务商管理-服务商新增”页面可以进行新增服务商操作。按页面要求填写服务商相关信息，点击提交即可成功创建一个服务商申请单，待运营主管审核通过后服务商账号才能成功添加。</w:t>
      </w:r>
    </w:p>
    <w:p>
      <w:pPr>
        <w:numPr>
          <w:numId w:val="0"/>
        </w:numPr>
      </w:pPr>
      <w:r>
        <w:drawing>
          <wp:inline distT="0" distB="0" distL="114300" distR="114300">
            <wp:extent cx="8120380" cy="4432300"/>
            <wp:effectExtent l="0" t="0" r="762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9"/>
                    <a:stretch>
                      <a:fillRect/>
                    </a:stretch>
                  </pic:blipFill>
                  <pic:spPr>
                    <a:xfrm>
                      <a:off x="0" y="0"/>
                      <a:ext cx="8120380" cy="4432300"/>
                    </a:xfrm>
                    <a:prstGeom prst="rect">
                      <a:avLst/>
                    </a:prstGeom>
                    <a:noFill/>
                    <a:ln>
                      <a:noFill/>
                    </a:ln>
                  </pic:spPr>
                </pic:pic>
              </a:graphicData>
            </a:graphic>
          </wp:inline>
        </w:drawing>
      </w:r>
    </w:p>
    <w:p>
      <w:pPr>
        <w:numPr>
          <w:numId w:val="0"/>
        </w:numPr>
        <w:ind w:firstLine="420" w:firstLineChars="0"/>
        <w:rPr>
          <w:rFonts w:hint="default" w:eastAsia="宋体"/>
          <w:lang w:val="en-US" w:eastAsia="zh-CN"/>
        </w:rPr>
      </w:pPr>
      <w:r>
        <w:rPr>
          <w:rFonts w:hint="eastAsia"/>
          <w:lang w:val="en-US" w:eastAsia="zh-CN"/>
        </w:rPr>
        <w:t>2、添加服务商必须选择归属的客户经理，客户经理后续负责该服务商的业务跟进和订单的资料审核工作。</w:t>
      </w: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36" w:name="_Toc2172"/>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编辑服务商</w:t>
      </w:r>
      <w:bookmarkEnd w:id="36"/>
    </w:p>
    <w:p>
      <w:pPr>
        <w:ind w:firstLine="420" w:firstLineChars="0"/>
        <w:rPr>
          <w:rFonts w:hint="default"/>
          <w:lang w:val="en-US" w:eastAsia="zh-CN"/>
        </w:rPr>
      </w:pPr>
      <w:r>
        <w:rPr>
          <w:rFonts w:hint="eastAsia"/>
          <w:lang w:val="en-US" w:eastAsia="zh-CN"/>
        </w:rPr>
        <w:t>1、在服务商列表点击“编辑”可以编辑服务商信息，提交后一样会生成一个服务商编辑申请单，运营主管审核通过才编辑信息才会生效。</w:t>
      </w:r>
    </w:p>
    <w:p>
      <w:pPr>
        <w:widowControl w:val="0"/>
        <w:numPr>
          <w:numId w:val="0"/>
        </w:numPr>
        <w:spacing w:line="360" w:lineRule="auto"/>
        <w:jc w:val="both"/>
        <w:rPr>
          <w:rFonts w:hint="default"/>
          <w:lang w:val="en-US" w:eastAsia="zh-CN"/>
        </w:rPr>
      </w:pPr>
      <w:r>
        <w:drawing>
          <wp:inline distT="0" distB="0" distL="114300" distR="114300">
            <wp:extent cx="8329930" cy="4790440"/>
            <wp:effectExtent l="0" t="0" r="1270" b="1016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0"/>
                    <a:stretch>
                      <a:fillRect/>
                    </a:stretch>
                  </pic:blipFill>
                  <pic:spPr>
                    <a:xfrm>
                      <a:off x="0" y="0"/>
                      <a:ext cx="8329930" cy="4790440"/>
                    </a:xfrm>
                    <a:prstGeom prst="rect">
                      <a:avLst/>
                    </a:prstGeom>
                    <a:noFill/>
                    <a:ln>
                      <a:noFill/>
                    </a:ln>
                  </pic:spPr>
                </pic:pic>
              </a:graphicData>
            </a:graphic>
          </wp:inline>
        </w:drawing>
      </w: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37" w:name="_Toc5789"/>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注销服务商</w:t>
      </w:r>
      <w:bookmarkEnd w:id="37"/>
    </w:p>
    <w:p>
      <w:pPr>
        <w:numPr>
          <w:ilvl w:val="0"/>
          <w:numId w:val="16"/>
        </w:numPr>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账号下还存在未注销的个体户时不允许注销，若不存在，则可以服务商进行注销</w:t>
      </w:r>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38" w:name="_Toc18769"/>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禁用/解禁</w:t>
      </w:r>
      <w:bookmarkEnd w:id="38"/>
    </w:p>
    <w:p>
      <w:pPr>
        <w:numPr>
          <w:ilvl w:val="0"/>
          <w:numId w:val="17"/>
        </w:numPr>
        <w:rPr>
          <w:rFonts w:hint="eastAsia"/>
          <w:lang w:val="en-US" w:eastAsia="zh-CN"/>
        </w:rPr>
      </w:pPr>
      <w:r>
        <w:rPr>
          <w:rFonts w:hint="eastAsia"/>
          <w:lang w:val="en-US" w:eastAsia="zh-CN"/>
        </w:rPr>
        <w:t>正常状态的服务商可以进行禁用操作。禁用后的服务商无法登录服务商H5端，但不影响该服务商正在进行中的业务订单</w:t>
      </w:r>
    </w:p>
    <w:p>
      <w:pPr>
        <w:numPr>
          <w:ilvl w:val="0"/>
          <w:numId w:val="17"/>
        </w:numPr>
        <w:rPr>
          <w:rFonts w:hint="default"/>
          <w:lang w:val="en-US" w:eastAsia="zh-CN"/>
        </w:rPr>
      </w:pPr>
      <w:r>
        <w:rPr>
          <w:rFonts w:hint="eastAsia"/>
          <w:lang w:val="en-US" w:eastAsia="zh-CN"/>
        </w:rPr>
        <w:t>已禁用状态的服务商可以进行解禁操作。解禁用的服务商即可恢复登录。</w:t>
      </w:r>
    </w:p>
    <w:p>
      <w:pPr>
        <w:pStyle w:val="3"/>
        <w:spacing w:before="120" w:after="120" w:line="240" w:lineRule="auto"/>
        <w:ind w:left="578" w:hanging="578"/>
        <w:rPr>
          <w:rFonts w:hint="eastAsia" w:ascii="华文细黑" w:hAnsi="华文细黑" w:eastAsia="华文细黑" w:cs="宋体"/>
          <w:color w:val="2F5597" w:themeColor="accent1" w:themeShade="BF"/>
          <w:sz w:val="28"/>
          <w:szCs w:val="28"/>
          <w:lang w:val="en-US" w:eastAsia="zh-CN"/>
        </w:rPr>
      </w:pPr>
      <w:bookmarkStart w:id="39" w:name="_Toc19166"/>
      <w:r>
        <w:rPr>
          <w:rFonts w:hint="eastAsia" w:ascii="华文细黑" w:hAnsi="华文细黑" w:eastAsia="华文细黑" w:cs="宋体"/>
          <w:color w:val="2F5597" w:themeColor="accent1" w:themeShade="BF"/>
          <w:sz w:val="28"/>
          <w:szCs w:val="28"/>
          <w:lang w:val="en-US" w:eastAsia="zh-CN"/>
        </w:rPr>
        <w:t>企业注册订单</w:t>
      </w:r>
      <w:bookmarkEnd w:id="39"/>
    </w:p>
    <w:p>
      <w:pPr>
        <w:pStyle w:val="24"/>
        <w:numPr>
          <w:ilvl w:val="0"/>
          <w:numId w:val="18"/>
        </w:numPr>
        <w:ind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sz w:val="24"/>
          <w:lang w:val="en-US" w:eastAsia="zh-CN"/>
        </w:rPr>
        <w:t>OEM机构管理员/运营主管打开“订单管理-企业注册”，可以查看OEM机构下所有的企业注册订单。</w:t>
      </w:r>
    </w:p>
    <w:p>
      <w:pPr>
        <w:pStyle w:val="24"/>
        <w:numPr>
          <w:ilvl w:val="0"/>
          <w:numId w:val="18"/>
        </w:numPr>
        <w:ind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sz w:val="24"/>
          <w:lang w:val="en-US" w:eastAsia="zh-CN"/>
        </w:rPr>
        <w:t>OEM客户经理/市场经理在本页面只能看到归属自己账号的服务商的订单数据。</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7586980" cy="427291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7599160" cy="4279953"/>
                    </a:xfrm>
                    <a:prstGeom prst="rect">
                      <a:avLst/>
                    </a:prstGeom>
                  </pic:spPr>
                </pic:pic>
              </a:graphicData>
            </a:graphic>
          </wp:inline>
        </w:drawing>
      </w: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40" w:name="_Toc9836"/>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确认收款</w:t>
      </w:r>
      <w:bookmarkEnd w:id="40"/>
    </w:p>
    <w:p>
      <w:pPr>
        <w:pStyle w:val="24"/>
        <w:numPr>
          <w:ilvl w:val="0"/>
          <w:numId w:val="19"/>
        </w:numPr>
        <w:ind w:left="420" w:leftChars="0" w:firstLine="420" w:firstLineChars="0"/>
        <w:rPr>
          <w:rFonts w:hint="default" w:ascii="华文细黑" w:hAnsi="华文细黑" w:eastAsia="华文细黑"/>
          <w:sz w:val="24"/>
          <w:lang w:val="en-US" w:eastAsia="zh-CN"/>
        </w:rPr>
      </w:pPr>
      <w:r>
        <w:rPr>
          <w:rFonts w:hint="eastAsia" w:ascii="华文细黑" w:hAnsi="华文细黑" w:eastAsia="华文细黑"/>
          <w:sz w:val="24"/>
        </w:rPr>
        <w:t>服务商</w:t>
      </w:r>
      <w:r>
        <w:rPr>
          <w:rFonts w:hint="eastAsia" w:ascii="华文细黑" w:hAnsi="华文细黑" w:eastAsia="华文细黑"/>
          <w:sz w:val="24"/>
          <w:lang w:val="en-US" w:eastAsia="zh-CN"/>
        </w:rPr>
        <w:t>在H5端进行个体户注册申请</w:t>
      </w:r>
      <w:r>
        <w:rPr>
          <w:rFonts w:hint="eastAsia" w:ascii="华文细黑" w:hAnsi="华文细黑" w:eastAsia="华文细黑"/>
          <w:sz w:val="24"/>
        </w:rPr>
        <w:t>，服务商</w:t>
      </w:r>
      <w:r>
        <w:rPr>
          <w:rFonts w:hint="eastAsia" w:ascii="华文细黑" w:hAnsi="华文细黑" w:eastAsia="华文细黑"/>
          <w:sz w:val="24"/>
          <w:lang w:val="en-US" w:eastAsia="zh-CN"/>
        </w:rPr>
        <w:t>在上传经营者身份证步骤点击下一步时创建企业注册订单，初始状态待身份验证。当服务商提交付款凭证后订单状态置为待确认收款，需要</w:t>
      </w:r>
      <w:r>
        <w:rPr>
          <w:rFonts w:hint="eastAsia" w:ascii="华文细黑" w:hAnsi="华文细黑" w:eastAsia="华文细黑"/>
          <w:b/>
          <w:bCs/>
          <w:sz w:val="24"/>
          <w:lang w:val="en-US" w:eastAsia="zh-CN"/>
        </w:rPr>
        <w:t>OEM机构财务</w:t>
      </w:r>
      <w:r>
        <w:rPr>
          <w:rFonts w:hint="eastAsia" w:ascii="华文细黑" w:hAnsi="华文细黑" w:eastAsia="华文细黑"/>
          <w:sz w:val="24"/>
          <w:lang w:val="en-US" w:eastAsia="zh-CN"/>
        </w:rPr>
        <w:t>进行收款确认操作。</w:t>
      </w:r>
    </w:p>
    <w:p>
      <w:pPr>
        <w:pStyle w:val="24"/>
        <w:numPr>
          <w:ilvl w:val="0"/>
          <w:numId w:val="19"/>
        </w:numPr>
        <w:ind w:left="420" w:leftChars="0" w:firstLine="420" w:firstLineChars="0"/>
        <w:rPr>
          <w:rFonts w:hint="default" w:ascii="华文细黑" w:hAnsi="华文细黑" w:eastAsia="华文细黑"/>
          <w:sz w:val="24"/>
          <w:lang w:val="en-US" w:eastAsia="zh-CN"/>
        </w:rPr>
      </w:pPr>
      <w:r>
        <w:rPr>
          <w:rFonts w:hint="eastAsia" w:ascii="华文细黑" w:hAnsi="华文细黑" w:eastAsia="华文细黑"/>
          <w:sz w:val="24"/>
          <w:lang w:val="en-US" w:eastAsia="zh-CN"/>
        </w:rPr>
        <w:t>财务在列表对待确认收款状态的企业注册订单点击“收款确认”进入收款确认页面。</w:t>
      </w:r>
    </w:p>
    <w:p>
      <w:pPr>
        <w:pStyle w:val="24"/>
        <w:numPr>
          <w:numId w:val="0"/>
        </w:numPr>
        <w:ind w:left="840" w:leftChars="0"/>
        <w:rPr>
          <w:rFonts w:ascii="华文细黑" w:hAnsi="华文细黑" w:eastAsia="华文细黑"/>
          <w:sz w:val="24"/>
        </w:rPr>
      </w:pPr>
      <w:r>
        <w:rPr>
          <w:rFonts w:ascii="华文细黑" w:hAnsi="华文细黑" w:eastAsia="华文细黑"/>
          <w:sz w:val="24"/>
        </w:rPr>
        <w:drawing>
          <wp:inline distT="0" distB="0" distL="0" distR="0">
            <wp:extent cx="7713345" cy="50260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7731069" cy="5037854"/>
                    </a:xfrm>
                    <a:prstGeom prst="rect">
                      <a:avLst/>
                    </a:prstGeom>
                  </pic:spPr>
                </pic:pic>
              </a:graphicData>
            </a:graphic>
          </wp:inline>
        </w:drawing>
      </w:r>
    </w:p>
    <w:p>
      <w:pPr>
        <w:pStyle w:val="24"/>
        <w:numPr>
          <w:ilvl w:val="0"/>
          <w:numId w:val="19"/>
        </w:numPr>
        <w:ind w:left="420" w:leftChars="0" w:firstLine="420" w:firstLineChars="0"/>
        <w:rPr>
          <w:rFonts w:hint="default" w:ascii="华文细黑" w:hAnsi="华文细黑" w:eastAsia="华文细黑"/>
          <w:sz w:val="24"/>
          <w:lang w:val="en-US" w:eastAsia="zh-CN"/>
        </w:rPr>
      </w:pPr>
      <w:r>
        <w:rPr>
          <w:rFonts w:hint="eastAsia" w:ascii="华文细黑" w:hAnsi="华文细黑" w:eastAsia="华文细黑"/>
          <w:sz w:val="24"/>
          <w:lang w:val="en-US" w:eastAsia="zh-CN"/>
        </w:rPr>
        <w:t>财务根据订单显示的收款金额、服务商上传的付款凭证无误，且银行账户实际收到钱后“是否有收到款项”选择是，并填写银行的收款流水号（确定时系统会比对流水号是否重复，防止流水重复使用）；实际收款金额默认为应收金额，允许根据实际情况调整。</w:t>
      </w:r>
    </w:p>
    <w:p>
      <w:pPr>
        <w:pStyle w:val="4"/>
        <w:spacing w:after="0" w:line="240" w:lineRule="auto"/>
        <w:ind w:left="1145"/>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bookmarkStart w:id="41" w:name="_Toc11159"/>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资料审核</w:t>
      </w:r>
      <w:bookmarkEnd w:id="41"/>
    </w:p>
    <w:p>
      <w:pPr>
        <w:pStyle w:val="24"/>
        <w:numPr>
          <w:ilvl w:val="0"/>
          <w:numId w:val="20"/>
        </w:numPr>
        <w:ind w:left="420" w:leftChars="0" w:firstLine="420"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b/>
          <w:bCs/>
          <w:sz w:val="24"/>
        </w:rPr>
        <w:t>OEM客户经</w:t>
      </w:r>
      <w:r>
        <w:rPr>
          <w:rFonts w:hint="eastAsia" w:ascii="华文细黑" w:hAnsi="华文细黑" w:eastAsia="华文细黑"/>
          <w:b w:val="0"/>
          <w:bCs w:val="0"/>
          <w:sz w:val="24"/>
        </w:rPr>
        <w:t>理</w:t>
      </w:r>
      <w:r>
        <w:rPr>
          <w:rFonts w:hint="eastAsia" w:ascii="华文细黑" w:hAnsi="华文细黑" w:eastAsia="华文细黑"/>
          <w:b w:val="0"/>
          <w:bCs w:val="0"/>
          <w:sz w:val="24"/>
          <w:lang w:val="en-US" w:eastAsia="zh-CN"/>
        </w:rPr>
        <w:t>需要关注和处理状态为资料审核中的企业注册订单</w:t>
      </w:r>
      <w:r>
        <w:rPr>
          <w:rFonts w:hint="eastAsia" w:ascii="华文细黑" w:hAnsi="华文细黑" w:eastAsia="华文细黑"/>
          <w:b/>
          <w:bCs/>
          <w:sz w:val="24"/>
          <w:lang w:val="en-US" w:eastAsia="zh-CN"/>
        </w:rPr>
        <w:t>，</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点击了企业注册列表操作中的“审核”对注册订单进行资料审核，审核是可以编辑用户提交的一些资料和信息。</w:t>
      </w:r>
    </w:p>
    <w:p>
      <w:pPr>
        <w:pStyle w:val="24"/>
        <w:ind w:left="927" w:firstLine="0"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ascii="华文细黑" w:hAnsi="华文细黑" w:eastAsia="华文细黑"/>
          <w:sz w:val="24"/>
        </w:rPr>
        <w:drawing>
          <wp:inline distT="0" distB="0" distL="0" distR="0">
            <wp:extent cx="7719060" cy="1317625"/>
            <wp:effectExtent l="0" t="0" r="254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a:stretch>
                      <a:fillRect/>
                    </a:stretch>
                  </pic:blipFill>
                  <pic:spPr>
                    <a:xfrm>
                      <a:off x="0" y="0"/>
                      <a:ext cx="7741666" cy="1321920"/>
                    </a:xfrm>
                    <a:prstGeom prst="rect">
                      <a:avLst/>
                    </a:prstGeom>
                  </pic:spPr>
                </pic:pic>
              </a:graphicData>
            </a:graphic>
          </wp:inline>
        </w:drawing>
      </w:r>
    </w:p>
    <w:p>
      <w:pPr>
        <w:pStyle w:val="24"/>
        <w:numPr>
          <w:ilvl w:val="0"/>
          <w:numId w:val="18"/>
        </w:numPr>
        <w:ind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b/>
          <w:bCs/>
          <w:sz w:val="24"/>
        </w:rPr>
        <w:t>OEM客户经理</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确认个体户注册信息无误或修改纠正完错误信息后，对当前订单进行审核操作，“审核拒绝”选择有退款的话需要上传退款凭证； “审核拒绝不需要退款”需要填入审核备注； “审核通过”后仅需点击确定即可。</w:t>
      </w:r>
      <w:r>
        <w:rPr>
          <w:rFonts w:ascii="华文细黑" w:hAnsi="华文细黑" w:eastAsia="华文细黑" w:cs="宋体"/>
          <w:color w:val="404040" w:themeColor="text1" w:themeTint="BF"/>
          <w:sz w:val="24"/>
          <w14:textFill>
            <w14:solidFill>
              <w14:schemeClr w14:val="tx1">
                <w14:lumMod w14:val="75000"/>
                <w14:lumOff w14:val="25000"/>
              </w14:schemeClr>
            </w14:solidFill>
          </w14:textFill>
        </w:rPr>
        <w:t>(</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退款必须与</w:t>
      </w:r>
      <w:r>
        <w:rPr>
          <w:rFonts w:hint="eastAsia" w:ascii="华文细黑" w:hAnsi="华文细黑" w:eastAsia="华文细黑" w:cs="宋体"/>
          <w:b/>
          <w:bCs/>
          <w:color w:val="404040" w:themeColor="text1" w:themeTint="BF"/>
          <w:sz w:val="24"/>
          <w14:textFill>
            <w14:solidFill>
              <w14:schemeClr w14:val="tx1">
                <w14:lumMod w14:val="75000"/>
                <w14:lumOff w14:val="25000"/>
              </w14:schemeClr>
            </w14:solidFill>
          </w14:textFill>
        </w:rPr>
        <w:t>OEM财务</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核实</w:t>
      </w:r>
      <w:r>
        <w:rPr>
          <w:rFonts w:ascii="华文细黑" w:hAnsi="华文细黑" w:eastAsia="华文细黑" w:cs="宋体"/>
          <w:color w:val="404040" w:themeColor="text1" w:themeTint="BF"/>
          <w:sz w:val="24"/>
          <w14:textFill>
            <w14:solidFill>
              <w14:schemeClr w14:val="tx1">
                <w14:lumMod w14:val="75000"/>
                <w14:lumOff w14:val="25000"/>
              </w14:schemeClr>
            </w14:solidFill>
          </w14:textFill>
        </w:rPr>
        <w:t>)</w:t>
      </w:r>
    </w:p>
    <w:p>
      <w:pPr>
        <w:pStyle w:val="24"/>
        <w:ind w:left="927" w:firstLine="0"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drawing>
          <wp:inline distT="0" distB="0" distL="114300" distR="114300">
            <wp:extent cx="6229350" cy="3340100"/>
            <wp:effectExtent l="0" t="0" r="6350" b="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4"/>
                    <a:stretch>
                      <a:fillRect/>
                    </a:stretch>
                  </pic:blipFill>
                  <pic:spPr>
                    <a:xfrm>
                      <a:off x="0" y="0"/>
                      <a:ext cx="6229350" cy="3340100"/>
                    </a:xfrm>
                    <a:prstGeom prst="rect">
                      <a:avLst/>
                    </a:prstGeom>
                    <a:noFill/>
                    <a:ln>
                      <a:noFill/>
                    </a:ln>
                  </pic:spPr>
                </pic:pic>
              </a:graphicData>
            </a:graphic>
          </wp:inline>
        </w:drawing>
      </w:r>
    </w:p>
    <w:p>
      <w:pPr>
        <w:pStyle w:val="24"/>
        <w:numPr>
          <w:ilvl w:val="0"/>
          <w:numId w:val="18"/>
        </w:numPr>
        <w:ind w:left="927" w:leftChars="0" w:hanging="360"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OEM客户经理审核</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通过</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后，订单</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状态</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变成出证中，</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流转到</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个体户</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注册</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园区</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线下办证后在园区端</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进行</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确认</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出证操作</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即可完成订单</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w:t>
      </w:r>
    </w:p>
    <w:p>
      <w:pPr>
        <w:pStyle w:val="24"/>
        <w:ind w:left="927" w:firstLine="0"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p>
    <w:p>
      <w:pPr>
        <w:pStyle w:val="3"/>
        <w:spacing w:before="120" w:after="120" w:line="240" w:lineRule="auto"/>
        <w:ind w:left="578" w:hanging="578"/>
        <w:rPr>
          <w:rFonts w:hint="eastAsia" w:ascii="华文细黑" w:hAnsi="华文细黑" w:eastAsia="华文细黑" w:cs="宋体"/>
          <w:color w:val="2F5597" w:themeColor="accent1" w:themeShade="BF"/>
          <w:sz w:val="28"/>
          <w:szCs w:val="28"/>
          <w:lang w:val="en-US" w:eastAsia="zh-CN"/>
        </w:rPr>
      </w:pPr>
      <w:bookmarkStart w:id="42" w:name="_Toc27460"/>
      <w:r>
        <w:rPr>
          <w:rFonts w:hint="eastAsia" w:ascii="华文细黑" w:hAnsi="华文细黑" w:eastAsia="华文细黑" w:cs="宋体"/>
          <w:color w:val="2F5597" w:themeColor="accent1" w:themeShade="BF"/>
          <w:sz w:val="28"/>
          <w:szCs w:val="28"/>
          <w:lang w:val="en-US" w:eastAsia="zh-CN"/>
        </w:rPr>
        <w:t>企业开票订单</w:t>
      </w:r>
      <w:bookmarkEnd w:id="42"/>
    </w:p>
    <w:p>
      <w:pPr>
        <w:pStyle w:val="24"/>
        <w:numPr>
          <w:ilvl w:val="0"/>
          <w:numId w:val="21"/>
        </w:numPr>
        <w:ind w:left="567" w:leftChars="0"/>
        <w:rPr>
          <w:rFonts w:hint="eastAsia" w:ascii="华文细黑" w:hAnsi="华文细黑" w:eastAsia="华文细黑"/>
          <w:sz w:val="24"/>
          <w:lang w:val="en-US" w:eastAsia="zh-CN"/>
        </w:rPr>
      </w:pPr>
      <w:r>
        <w:rPr>
          <w:rFonts w:hint="eastAsia" w:ascii="华文细黑" w:hAnsi="华文细黑" w:eastAsia="华文细黑"/>
          <w:sz w:val="24"/>
          <w:lang w:val="en-US" w:eastAsia="zh-CN"/>
        </w:rPr>
        <w:t>OEM机构管理员/运营主管打开“订单管理-企业开票”，可以查看OEM机构下所有的企业开票订单。</w:t>
      </w:r>
    </w:p>
    <w:p>
      <w:pPr>
        <w:pStyle w:val="24"/>
        <w:numPr>
          <w:ilvl w:val="0"/>
          <w:numId w:val="21"/>
        </w:numPr>
        <w:ind w:left="567" w:leftChars="0"/>
        <w:rPr>
          <w:rFonts w:ascii="华文细黑" w:hAnsi="华文细黑" w:eastAsia="华文细黑"/>
          <w:sz w:val="24"/>
        </w:rPr>
      </w:pPr>
      <w:r>
        <w:rPr>
          <w:rFonts w:hint="eastAsia" w:ascii="华文细黑" w:hAnsi="华文细黑" w:eastAsia="华文细黑"/>
          <w:sz w:val="24"/>
          <w:lang w:val="en-US" w:eastAsia="zh-CN"/>
        </w:rPr>
        <w:t>OEM客户经理/市场经理在本页面只能看到归属自己账号的服务商的订单数据。</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7724140" cy="43503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7728978" cy="4353069"/>
                    </a:xfrm>
                    <a:prstGeom prst="rect">
                      <a:avLst/>
                    </a:prstGeom>
                  </pic:spPr>
                </pic:pic>
              </a:graphicData>
            </a:graphic>
          </wp:inline>
        </w:drawing>
      </w: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43" w:name="_Toc15010"/>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确认收款</w:t>
      </w:r>
      <w:bookmarkEnd w:id="43"/>
    </w:p>
    <w:p>
      <w:pPr>
        <w:pStyle w:val="24"/>
        <w:numPr>
          <w:ilvl w:val="0"/>
          <w:numId w:val="22"/>
        </w:numPr>
        <w:rPr>
          <w:rFonts w:hint="default" w:ascii="华文细黑" w:hAnsi="华文细黑" w:eastAsia="华文细黑"/>
          <w:sz w:val="24"/>
          <w:lang w:val="en-US" w:eastAsia="zh-CN"/>
        </w:rPr>
      </w:pPr>
      <w:r>
        <w:rPr>
          <w:rFonts w:hint="eastAsia" w:ascii="华文细黑" w:hAnsi="华文细黑" w:eastAsia="华文细黑"/>
          <w:sz w:val="24"/>
          <w:lang w:val="en-US" w:eastAsia="zh-CN"/>
        </w:rPr>
        <w:t>财务在列表对待确认收款状态的企业注册订单点击“收款确认”进入收款确认页面。</w:t>
      </w:r>
    </w:p>
    <w:p>
      <w:pPr>
        <w:numPr>
          <w:numId w:val="0"/>
        </w:numPr>
      </w:pPr>
      <w:r>
        <w:drawing>
          <wp:inline distT="0" distB="0" distL="114300" distR="114300">
            <wp:extent cx="6858000" cy="4368800"/>
            <wp:effectExtent l="0" t="0" r="0"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6"/>
                    <a:stretch>
                      <a:fillRect/>
                    </a:stretch>
                  </pic:blipFill>
                  <pic:spPr>
                    <a:xfrm>
                      <a:off x="0" y="0"/>
                      <a:ext cx="6858000" cy="4368800"/>
                    </a:xfrm>
                    <a:prstGeom prst="rect">
                      <a:avLst/>
                    </a:prstGeom>
                    <a:noFill/>
                    <a:ln>
                      <a:noFill/>
                    </a:ln>
                  </pic:spPr>
                </pic:pic>
              </a:graphicData>
            </a:graphic>
          </wp:inline>
        </w:drawing>
      </w:r>
    </w:p>
    <w:p>
      <w:pPr>
        <w:pStyle w:val="24"/>
        <w:numPr>
          <w:ilvl w:val="0"/>
          <w:numId w:val="22"/>
        </w:numPr>
        <w:ind w:left="0" w:leftChars="0" w:firstLine="480" w:firstLineChars="200"/>
        <w:rPr>
          <w:rFonts w:hint="default" w:ascii="华文细黑" w:hAnsi="华文细黑" w:eastAsia="华文细黑"/>
          <w:sz w:val="24"/>
          <w:lang w:val="en-US" w:eastAsia="zh-CN"/>
        </w:rPr>
      </w:pPr>
      <w:r>
        <w:rPr>
          <w:rFonts w:hint="eastAsia" w:ascii="华文细黑" w:hAnsi="华文细黑" w:eastAsia="华文细黑"/>
          <w:sz w:val="24"/>
          <w:lang w:val="en-US" w:eastAsia="zh-CN"/>
        </w:rPr>
        <w:t>财务根据订单显示的收款金额、服务商上传的付款凭证无误，且银行账户实际收到钱后“是否有收到款项”选择是，并填写银行的收款流水号（确定时系统会比对流水号是否重复，防止流水重复使用）；实际收款金额默认为应收金额，允许根据实际情况调整。</w:t>
      </w:r>
    </w:p>
    <w:p>
      <w:pPr>
        <w:pStyle w:val="24"/>
        <w:numPr>
          <w:ilvl w:val="0"/>
          <w:numId w:val="22"/>
        </w:numPr>
        <w:ind w:left="0" w:leftChars="0" w:firstLine="480" w:firstLineChars="200"/>
        <w:rPr>
          <w:rFonts w:hint="default" w:ascii="华文细黑" w:hAnsi="华文细黑" w:eastAsia="华文细黑"/>
          <w:sz w:val="24"/>
          <w:lang w:val="en-US" w:eastAsia="zh-CN"/>
        </w:rPr>
      </w:pPr>
      <w:r>
        <w:rPr>
          <w:rFonts w:hint="eastAsia" w:ascii="华文细黑" w:hAnsi="华文细黑" w:eastAsia="华文细黑"/>
          <w:sz w:val="24"/>
          <w:lang w:val="en-US" w:eastAsia="zh-CN"/>
        </w:rPr>
        <w:t>输入完毕点击确定即可完成确认收款操作。若确认已收到钱，则订单状态置为资料审核中，由客户经理进行审核；若未收款钱或金额不对，则订单状态置为支付失败，服务商在H5端的企业开票订单列表可以重新提交付款凭证。</w:t>
      </w:r>
    </w:p>
    <w:p>
      <w:pPr>
        <w:numPr>
          <w:numId w:val="0"/>
        </w:numPr>
        <w:rPr>
          <w:rFonts w:hint="default"/>
          <w:lang w:val="en-US" w:eastAsia="zh-CN"/>
        </w:rPr>
      </w:pPr>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44" w:name="_Toc28039"/>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资料审核</w:t>
      </w:r>
      <w:bookmarkEnd w:id="44"/>
    </w:p>
    <w:p>
      <w:pPr>
        <w:pStyle w:val="24"/>
        <w:numPr>
          <w:ilvl w:val="0"/>
          <w:numId w:val="23"/>
        </w:numPr>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b/>
          <w:bCs/>
          <w:sz w:val="24"/>
        </w:rPr>
        <w:t>OEM客户经</w:t>
      </w:r>
      <w:r>
        <w:rPr>
          <w:rFonts w:hint="eastAsia" w:ascii="华文细黑" w:hAnsi="华文细黑" w:eastAsia="华文细黑"/>
          <w:b w:val="0"/>
          <w:bCs w:val="0"/>
          <w:sz w:val="24"/>
        </w:rPr>
        <w:t>理</w:t>
      </w:r>
      <w:r>
        <w:rPr>
          <w:rFonts w:hint="eastAsia" w:ascii="华文细黑" w:hAnsi="华文细黑" w:eastAsia="华文细黑"/>
          <w:b w:val="0"/>
          <w:bCs w:val="0"/>
          <w:sz w:val="24"/>
          <w:lang w:val="en-US" w:eastAsia="zh-CN"/>
        </w:rPr>
        <w:t>需要关注和处理状态为资料审核中的企业开票订单</w:t>
      </w:r>
      <w:r>
        <w:rPr>
          <w:rFonts w:hint="eastAsia" w:ascii="华文细黑" w:hAnsi="华文细黑" w:eastAsia="华文细黑"/>
          <w:b/>
          <w:bCs/>
          <w:sz w:val="24"/>
          <w:lang w:val="en-US" w:eastAsia="zh-CN"/>
        </w:rPr>
        <w:t>，</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点击了企业注册列表操作中的“审核”对</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开票</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订单进行资料审核，审核是可以编辑用户提交的一些资料和信息。</w:t>
      </w:r>
    </w:p>
    <w:p>
      <w:pPr>
        <w:pStyle w:val="24"/>
        <w:ind w:left="927" w:firstLine="0"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drawing>
          <wp:inline distT="0" distB="0" distL="114300" distR="114300">
            <wp:extent cx="8328660" cy="3897630"/>
            <wp:effectExtent l="0" t="0" r="2540" b="127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7"/>
                    <a:stretch>
                      <a:fillRect/>
                    </a:stretch>
                  </pic:blipFill>
                  <pic:spPr>
                    <a:xfrm>
                      <a:off x="0" y="0"/>
                      <a:ext cx="8328660" cy="3897630"/>
                    </a:xfrm>
                    <a:prstGeom prst="rect">
                      <a:avLst/>
                    </a:prstGeom>
                    <a:noFill/>
                    <a:ln>
                      <a:noFill/>
                    </a:ln>
                  </pic:spPr>
                </pic:pic>
              </a:graphicData>
            </a:graphic>
          </wp:inline>
        </w:drawing>
      </w:r>
    </w:p>
    <w:p>
      <w:pPr>
        <w:pStyle w:val="24"/>
        <w:numPr>
          <w:ilvl w:val="0"/>
          <w:numId w:val="23"/>
        </w:numPr>
        <w:ind w:left="0" w:leftChars="0" w:firstLine="480" w:firstLineChars="20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b/>
          <w:bCs/>
          <w:sz w:val="24"/>
        </w:rPr>
        <w:t>OEM客户经理</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确认</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开票</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信息无误或修改纠正完错误信息后，对当前订单进行审核操作，“审核拒绝”选择有退款的话需要上传退款凭证； “审核拒绝不需要退款”需要填入审核备注； “审核通过”后仅需点击确定即可。</w:t>
      </w:r>
      <w:r>
        <w:rPr>
          <w:rFonts w:ascii="华文细黑" w:hAnsi="华文细黑" w:eastAsia="华文细黑" w:cs="宋体"/>
          <w:color w:val="404040" w:themeColor="text1" w:themeTint="BF"/>
          <w:sz w:val="24"/>
          <w14:textFill>
            <w14:solidFill>
              <w14:schemeClr w14:val="tx1">
                <w14:lumMod w14:val="75000"/>
                <w14:lumOff w14:val="25000"/>
              </w14:schemeClr>
            </w14:solidFill>
          </w14:textFill>
        </w:rPr>
        <w:t>(</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退款必须与</w:t>
      </w:r>
      <w:r>
        <w:rPr>
          <w:rFonts w:hint="eastAsia" w:ascii="华文细黑" w:hAnsi="华文细黑" w:eastAsia="华文细黑" w:cs="宋体"/>
          <w:b/>
          <w:bCs/>
          <w:color w:val="404040" w:themeColor="text1" w:themeTint="BF"/>
          <w:sz w:val="24"/>
          <w14:textFill>
            <w14:solidFill>
              <w14:schemeClr w14:val="tx1">
                <w14:lumMod w14:val="75000"/>
                <w14:lumOff w14:val="25000"/>
              </w14:schemeClr>
            </w14:solidFill>
          </w14:textFill>
        </w:rPr>
        <w:t>OEM财务</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核实</w:t>
      </w:r>
      <w:r>
        <w:rPr>
          <w:rFonts w:ascii="华文细黑" w:hAnsi="华文细黑" w:eastAsia="华文细黑" w:cs="宋体"/>
          <w:color w:val="404040" w:themeColor="text1" w:themeTint="BF"/>
          <w:sz w:val="24"/>
          <w14:textFill>
            <w14:solidFill>
              <w14:schemeClr w14:val="tx1">
                <w14:lumMod w14:val="75000"/>
                <w14:lumOff w14:val="25000"/>
              </w14:schemeClr>
            </w14:solidFill>
          </w14:textFill>
        </w:rPr>
        <w:t>)</w:t>
      </w:r>
    </w:p>
    <w:p>
      <w:pPr>
        <w:pStyle w:val="24"/>
        <w:ind w:left="927" w:firstLine="0"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drawing>
          <wp:inline distT="0" distB="0" distL="114300" distR="114300">
            <wp:extent cx="6229350" cy="3340100"/>
            <wp:effectExtent l="0" t="0" r="6350" b="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24"/>
                    <a:stretch>
                      <a:fillRect/>
                    </a:stretch>
                  </pic:blipFill>
                  <pic:spPr>
                    <a:xfrm>
                      <a:off x="0" y="0"/>
                      <a:ext cx="6229350" cy="3340100"/>
                    </a:xfrm>
                    <a:prstGeom prst="rect">
                      <a:avLst/>
                    </a:prstGeom>
                    <a:noFill/>
                    <a:ln>
                      <a:noFill/>
                    </a:ln>
                  </pic:spPr>
                </pic:pic>
              </a:graphicData>
            </a:graphic>
          </wp:inline>
        </w:drawing>
      </w:r>
    </w:p>
    <w:p>
      <w:pPr>
        <w:pStyle w:val="24"/>
        <w:ind w:left="927" w:firstLine="0" w:firstLineChars="0"/>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p>
    <w:p>
      <w:pPr>
        <w:pStyle w:val="24"/>
        <w:numPr>
          <w:ilvl w:val="0"/>
          <w:numId w:val="18"/>
        </w:numPr>
        <w:ind w:left="927" w:leftChars="0" w:hanging="360" w:firstLineChars="0"/>
        <w:rPr>
          <w:rFonts w:hint="default" w:ascii="华文细黑" w:hAnsi="华文细黑" w:eastAsia="华文细黑" w:cs="宋体"/>
          <w:color w:val="404040" w:themeColor="text1" w:themeTint="BF"/>
          <w:sz w:val="24"/>
          <w:lang w:val="en-US"/>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OEM客户经理审核</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通过</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后，订单</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状态</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变成</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出票</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中，</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流转到</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个体户</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注册</w:t>
      </w:r>
      <w:r>
        <w:rPr>
          <w:rFonts w:hint="eastAsia" w:ascii="华文细黑" w:hAnsi="华文细黑" w:eastAsia="华文细黑" w:cs="宋体"/>
          <w:color w:val="404040" w:themeColor="text1" w:themeTint="BF"/>
          <w:sz w:val="24"/>
          <w14:textFill>
            <w14:solidFill>
              <w14:schemeClr w14:val="tx1">
                <w14:lumMod w14:val="75000"/>
                <w14:lumOff w14:val="25000"/>
              </w14:schemeClr>
            </w14:solidFill>
          </w14:textFill>
        </w:rPr>
        <w:t>园区</w:t>
      </w:r>
      <w:r>
        <w:rPr>
          <w:rFonts w:hint="eastAsia" w:ascii="华文细黑" w:hAnsi="华文细黑" w:eastAsia="华文细黑" w:cs="宋体"/>
          <w:color w:val="404040" w:themeColor="text1" w:themeTint="BF"/>
          <w:sz w:val="24"/>
          <w:lang w:val="en-US" w:eastAsia="zh-CN"/>
          <w14:textFill>
            <w14:solidFill>
              <w14:schemeClr w14:val="tx1">
                <w14:lumMod w14:val="75000"/>
                <w14:lumOff w14:val="25000"/>
              </w14:schemeClr>
            </w14:solidFill>
          </w14:textFill>
        </w:rPr>
        <w:t>进行出票和邮寄操作，确认签收后订单状态变为已完成（电子发票出票后直接状态变为已完成）</w:t>
      </w:r>
    </w:p>
    <w:p>
      <w:pPr>
        <w:rPr>
          <w:rFonts w:hint="default"/>
          <w:lang w:val="en-US" w:eastAsia="zh-CN"/>
        </w:rPr>
      </w:pPr>
    </w:p>
    <w:p>
      <w:pPr>
        <w:pStyle w:val="3"/>
        <w:spacing w:before="120" w:after="120" w:line="240" w:lineRule="auto"/>
        <w:ind w:left="578" w:hanging="578"/>
        <w:rPr>
          <w:rFonts w:hint="eastAsia" w:ascii="华文细黑" w:hAnsi="华文细黑" w:eastAsia="华文细黑" w:cs="宋体"/>
          <w:color w:val="2F5597" w:themeColor="accent1" w:themeShade="BF"/>
          <w:sz w:val="28"/>
          <w:szCs w:val="28"/>
          <w:lang w:val="en-US" w:eastAsia="zh-CN"/>
        </w:rPr>
      </w:pPr>
      <w:bookmarkStart w:id="45" w:name="_Toc19786"/>
      <w:r>
        <w:rPr>
          <w:rFonts w:hint="eastAsia" w:ascii="华文细黑" w:hAnsi="华文细黑" w:eastAsia="华文细黑" w:cs="宋体"/>
          <w:color w:val="2F5597" w:themeColor="accent1" w:themeShade="BF"/>
          <w:sz w:val="28"/>
          <w:szCs w:val="28"/>
          <w:lang w:val="en-US" w:eastAsia="zh-CN"/>
        </w:rPr>
        <w:t>企业注销订单</w:t>
      </w:r>
      <w:bookmarkEnd w:id="45"/>
    </w:p>
    <w:p>
      <w:pPr>
        <w:pStyle w:val="24"/>
        <w:numPr>
          <w:ilvl w:val="0"/>
          <w:numId w:val="24"/>
        </w:numPr>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sz w:val="24"/>
          <w:lang w:val="en-US" w:eastAsia="zh-CN"/>
        </w:rPr>
        <w:t>OEM机构管理员/运营主管打开“订单管理-企业注销”，可以查看OEM机构下所有的企业注销订单。</w:t>
      </w:r>
    </w:p>
    <w:p>
      <w:pPr>
        <w:pStyle w:val="24"/>
        <w:numPr>
          <w:ilvl w:val="0"/>
          <w:numId w:val="24"/>
        </w:numPr>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sz w:val="24"/>
          <w:lang w:val="en-US" w:eastAsia="zh-CN"/>
        </w:rPr>
        <w:t>OEM客户经理/市场经理在本页面只能看到归属自己账号的服务商的订单数据。</w:t>
      </w:r>
    </w:p>
    <w:p>
      <w:pPr>
        <w:pStyle w:val="24"/>
        <w:numPr>
          <w:numId w:val="0"/>
        </w:numPr>
        <w:rPr>
          <w:rFonts w:ascii="华文细黑" w:hAnsi="华文细黑" w:eastAsia="华文细黑" w:cs="宋体"/>
          <w:color w:val="404040" w:themeColor="text1" w:themeTint="BF"/>
          <w:sz w:val="24"/>
          <w14:textFill>
            <w14:solidFill>
              <w14:schemeClr w14:val="tx1">
                <w14:lumMod w14:val="75000"/>
                <w14:lumOff w14:val="25000"/>
              </w14:schemeClr>
            </w14:solidFill>
          </w14:textFill>
        </w:rPr>
      </w:pPr>
      <w:r>
        <w:drawing>
          <wp:inline distT="0" distB="0" distL="114300" distR="114300">
            <wp:extent cx="8335010" cy="2851785"/>
            <wp:effectExtent l="0" t="0" r="8890" b="571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8"/>
                    <a:stretch>
                      <a:fillRect/>
                    </a:stretch>
                  </pic:blipFill>
                  <pic:spPr>
                    <a:xfrm>
                      <a:off x="0" y="0"/>
                      <a:ext cx="8335010" cy="2851785"/>
                    </a:xfrm>
                    <a:prstGeom prst="rect">
                      <a:avLst/>
                    </a:prstGeom>
                    <a:noFill/>
                    <a:ln>
                      <a:noFill/>
                    </a:ln>
                  </pic:spPr>
                </pic:pic>
              </a:graphicData>
            </a:graphic>
          </wp:inline>
        </w:drawing>
      </w: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bookmarkStart w:id="46" w:name="_Toc29281"/>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确认收款</w:t>
      </w:r>
      <w:bookmarkEnd w:id="46"/>
    </w:p>
    <w:p>
      <w:pPr>
        <w:pStyle w:val="24"/>
        <w:numPr>
          <w:ilvl w:val="0"/>
          <w:numId w:val="25"/>
        </w:numPr>
        <w:rPr>
          <w:rFonts w:ascii="华文细黑" w:hAnsi="华文细黑" w:eastAsia="华文细黑"/>
          <w:sz w:val="24"/>
        </w:rPr>
      </w:pPr>
      <w:r>
        <w:rPr>
          <w:rFonts w:hint="eastAsia" w:ascii="华文细黑" w:hAnsi="华文细黑" w:eastAsia="华文细黑"/>
          <w:sz w:val="24"/>
        </w:rPr>
        <w:t>当服务商在h</w:t>
      </w:r>
      <w:r>
        <w:rPr>
          <w:rFonts w:ascii="华文细黑" w:hAnsi="华文细黑" w:eastAsia="华文细黑"/>
          <w:sz w:val="24"/>
        </w:rPr>
        <w:t>5</w:t>
      </w:r>
      <w:r>
        <w:rPr>
          <w:rFonts w:hint="eastAsia" w:ascii="华文细黑" w:hAnsi="华文细黑" w:eastAsia="华文细黑"/>
          <w:sz w:val="24"/>
        </w:rPr>
        <w:t>个体户小工具的企业列表中的详情界面点击“注销”发起企业（个体户）注销后，订单管理-企业注销会新增一条该企业的注销订单，状态为的待确认收款。</w:t>
      </w:r>
    </w:p>
    <w:p>
      <w:pPr>
        <w:pStyle w:val="24"/>
        <w:numPr>
          <w:ilvl w:val="0"/>
          <w:numId w:val="25"/>
        </w:numPr>
        <w:ind w:left="0" w:leftChars="0" w:firstLine="480" w:firstLineChars="200"/>
        <w:rPr>
          <w:rFonts w:hint="default" w:ascii="华文细黑" w:hAnsi="华文细黑" w:eastAsia="华文细黑"/>
          <w:sz w:val="24"/>
          <w:lang w:val="en-US" w:eastAsia="zh-CN"/>
        </w:rPr>
      </w:pPr>
      <w:r>
        <w:rPr>
          <w:rFonts w:hint="eastAsia" w:ascii="华文细黑" w:hAnsi="华文细黑" w:eastAsia="华文细黑"/>
          <w:sz w:val="24"/>
          <w:lang w:val="en-US" w:eastAsia="zh-CN"/>
        </w:rPr>
        <w:t>财务在列表对待确认收款状态的企业注销订单点击“收款确认”进入收款确认页面。</w:t>
      </w:r>
    </w:p>
    <w:p>
      <w:pPr>
        <w:numPr>
          <w:ilvl w:val="0"/>
          <w:numId w:val="0"/>
        </w:numPr>
      </w:pPr>
      <w:r>
        <w:drawing>
          <wp:inline distT="0" distB="0" distL="114300" distR="114300">
            <wp:extent cx="6858000" cy="4368800"/>
            <wp:effectExtent l="0" t="0" r="0" b="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6"/>
                    <a:stretch>
                      <a:fillRect/>
                    </a:stretch>
                  </pic:blipFill>
                  <pic:spPr>
                    <a:xfrm>
                      <a:off x="0" y="0"/>
                      <a:ext cx="6858000" cy="4368800"/>
                    </a:xfrm>
                    <a:prstGeom prst="rect">
                      <a:avLst/>
                    </a:prstGeom>
                    <a:noFill/>
                    <a:ln>
                      <a:noFill/>
                    </a:ln>
                  </pic:spPr>
                </pic:pic>
              </a:graphicData>
            </a:graphic>
          </wp:inline>
        </w:drawing>
      </w:r>
    </w:p>
    <w:p>
      <w:pPr>
        <w:pStyle w:val="24"/>
        <w:numPr>
          <w:ilvl w:val="0"/>
          <w:numId w:val="25"/>
        </w:numPr>
        <w:ind w:left="0" w:leftChars="0" w:firstLine="480" w:firstLineChars="200"/>
        <w:rPr>
          <w:rFonts w:hint="default" w:ascii="华文细黑" w:hAnsi="华文细黑" w:eastAsia="华文细黑"/>
          <w:sz w:val="24"/>
          <w:lang w:val="en-US" w:eastAsia="zh-CN"/>
        </w:rPr>
      </w:pPr>
      <w:r>
        <w:rPr>
          <w:rFonts w:hint="eastAsia" w:ascii="华文细黑" w:hAnsi="华文细黑" w:eastAsia="华文细黑"/>
          <w:sz w:val="24"/>
          <w:lang w:val="en-US" w:eastAsia="zh-CN"/>
        </w:rPr>
        <w:t>财务根据订单显示的收款金额、服务商上传的付款凭证无误，且银行账户实际收到钱后“是否有收到款项”选择是，并填写银行的收款流水号（确定时系统会比对流水号是否重复，防止流水重复使用）；实际收款金额默认为应收金额，允许根据实际情况调整。</w:t>
      </w:r>
    </w:p>
    <w:p>
      <w:pPr>
        <w:pStyle w:val="24"/>
        <w:numPr>
          <w:ilvl w:val="0"/>
          <w:numId w:val="22"/>
        </w:numPr>
        <w:ind w:left="0" w:leftChars="0" w:firstLine="480" w:firstLineChars="200"/>
        <w:rPr>
          <w:rFonts w:ascii="华文细黑" w:hAnsi="华文细黑" w:eastAsia="华文细黑"/>
          <w:sz w:val="24"/>
        </w:rPr>
      </w:pPr>
      <w:r>
        <w:rPr>
          <w:rFonts w:hint="eastAsia" w:ascii="华文细黑" w:hAnsi="华文细黑" w:eastAsia="华文细黑"/>
          <w:sz w:val="24"/>
          <w:lang w:val="en-US" w:eastAsia="zh-CN"/>
        </w:rPr>
        <w:t>输入完毕点击确定即可完成确认收款操作。若确认已收到钱，则订单状态置为注销处理中，流转到园区线下完成注销后在平台确认注销没完成注销操作。若未收款钱或金额不对，则订单状态置为支付失败，订单结束，服务商可在H5再次发起注销申请。</w:t>
      </w:r>
    </w:p>
    <w:p>
      <w:pPr>
        <w:pStyle w:val="3"/>
        <w:spacing w:before="120" w:after="120" w:line="240" w:lineRule="auto"/>
        <w:ind w:left="578" w:hanging="578"/>
        <w:rPr>
          <w:rFonts w:hint="eastAsia" w:ascii="华文细黑" w:hAnsi="华文细黑" w:eastAsia="华文细黑" w:cs="宋体"/>
          <w:color w:val="2F5597" w:themeColor="accent1" w:themeShade="BF"/>
          <w:sz w:val="28"/>
          <w:szCs w:val="28"/>
        </w:rPr>
      </w:pPr>
      <w:bookmarkStart w:id="47" w:name="_Toc110531870"/>
      <w:bookmarkStart w:id="48" w:name="_Toc27881"/>
      <w:r>
        <w:rPr>
          <w:rFonts w:hint="eastAsia" w:ascii="华文细黑" w:hAnsi="华文细黑" w:eastAsia="华文细黑" w:cs="宋体"/>
          <w:color w:val="2F5597" w:themeColor="accent1" w:themeShade="BF"/>
          <w:sz w:val="28"/>
          <w:szCs w:val="28"/>
        </w:rPr>
        <w:t>流水补传</w:t>
      </w:r>
      <w:bookmarkEnd w:id="47"/>
      <w:bookmarkEnd w:id="48"/>
    </w:p>
    <w:p>
      <w:pPr>
        <w:pStyle w:val="24"/>
        <w:numPr>
          <w:ilvl w:val="0"/>
          <w:numId w:val="26"/>
        </w:numPr>
        <w:ind w:firstLine="42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服务商/渠道商申请开票时，如果在资料填写界面的证据链上传时选择流水后补，则会在发票订单完成后</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需要服务商在H5端补传</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，服务商在H</w:t>
      </w:r>
      <w:r>
        <w:rPr>
          <w:rFonts w:ascii="华文细黑" w:hAnsi="华文细黑" w:eastAsia="华文细黑"/>
          <w:color w:val="404040" w:themeColor="text1" w:themeTint="BF"/>
          <w:sz w:val="24"/>
          <w14:textFill>
            <w14:solidFill>
              <w14:schemeClr w14:val="tx1">
                <w14:lumMod w14:val="75000"/>
                <w14:lumOff w14:val="25000"/>
              </w14:schemeClr>
            </w14:solidFill>
          </w14:textFill>
        </w:rPr>
        <w:t>5</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端</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完成补传后系统</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生成需要</w:t>
      </w:r>
      <w:r>
        <w:rPr>
          <w:rFonts w:hint="eastAsia" w:ascii="华文细黑" w:hAnsi="华文细黑" w:eastAsia="华文细黑"/>
          <w:b/>
          <w:bCs/>
          <w:color w:val="404040" w:themeColor="text1" w:themeTint="BF"/>
          <w:sz w:val="24"/>
          <w:lang w:val="en-US" w:eastAsia="zh-CN"/>
          <w14:textFill>
            <w14:solidFill>
              <w14:schemeClr w14:val="tx1">
                <w14:lumMod w14:val="75000"/>
                <w14:lumOff w14:val="25000"/>
              </w14:schemeClr>
            </w14:solidFill>
          </w14:textFill>
        </w:rPr>
        <w:t>OEM客户经理</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审核的流水补传审核订单。</w:t>
      </w:r>
      <w:r>
        <w:rPr>
          <w:rFonts w:hint="eastAsia" w:ascii="华文细黑" w:hAnsi="华文细黑" w:eastAsia="华文细黑"/>
          <w:b/>
          <w:bCs/>
          <w:color w:val="404040" w:themeColor="text1" w:themeTint="BF"/>
          <w:sz w:val="24"/>
          <w:lang w:val="en-US" w:eastAsia="zh-CN"/>
          <w14:textFill>
            <w14:solidFill>
              <w14:schemeClr w14:val="tx1">
                <w14:lumMod w14:val="75000"/>
                <w14:lumOff w14:val="25000"/>
              </w14:schemeClr>
            </w14:solidFill>
          </w14:textFill>
        </w:rPr>
        <w:t>OEM客户经理</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打开订单管理-流水补传订单列表，点击“审核”查看附上已经补传的流水资料。</w:t>
      </w:r>
    </w:p>
    <w:p>
      <w:pPr>
        <w:pStyle w:val="24"/>
        <w:ind w:left="927" w:firstLine="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ascii="华文细黑" w:hAnsi="华文细黑" w:eastAsia="华文细黑"/>
          <w:sz w:val="24"/>
        </w:rPr>
        <w:drawing>
          <wp:inline distT="0" distB="0" distL="0" distR="0">
            <wp:extent cx="7702550" cy="4337685"/>
            <wp:effectExtent l="0" t="0" r="635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9"/>
                    <a:stretch>
                      <a:fillRect/>
                    </a:stretch>
                  </pic:blipFill>
                  <pic:spPr>
                    <a:xfrm>
                      <a:off x="0" y="0"/>
                      <a:ext cx="7710443" cy="4342630"/>
                    </a:xfrm>
                    <a:prstGeom prst="rect">
                      <a:avLst/>
                    </a:prstGeom>
                  </pic:spPr>
                </pic:pic>
              </a:graphicData>
            </a:graphic>
          </wp:inline>
        </w:drawing>
      </w:r>
    </w:p>
    <w:p>
      <w:pPr>
        <w:pStyle w:val="24"/>
        <w:ind w:left="927" w:firstLine="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ascii="华文细黑" w:hAnsi="华文细黑" w:eastAsia="华文细黑"/>
          <w:sz w:val="24"/>
        </w:rPr>
        <w:drawing>
          <wp:inline distT="0" distB="0" distL="0" distR="0">
            <wp:extent cx="7708900" cy="285432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0"/>
                    <a:stretch>
                      <a:fillRect/>
                    </a:stretch>
                  </pic:blipFill>
                  <pic:spPr>
                    <a:xfrm>
                      <a:off x="0" y="0"/>
                      <a:ext cx="7728810" cy="2861956"/>
                    </a:xfrm>
                    <a:prstGeom prst="rect">
                      <a:avLst/>
                    </a:prstGeom>
                  </pic:spPr>
                </pic:pic>
              </a:graphicData>
            </a:graphic>
          </wp:inline>
        </w:drawing>
      </w:r>
    </w:p>
    <w:p>
      <w:pPr>
        <w:pStyle w:val="24"/>
        <w:numPr>
          <w:ilvl w:val="0"/>
          <w:numId w:val="27"/>
        </w:numPr>
        <w:ind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b/>
          <w:bCs/>
          <w:sz w:val="24"/>
          <w:lang w:val="en-US" w:eastAsia="zh-CN"/>
        </w:rPr>
        <w:t>OEM客户经理</w:t>
      </w:r>
      <w:r>
        <w:rPr>
          <w:rFonts w:hint="eastAsia" w:ascii="华文细黑" w:hAnsi="华文细黑" w:eastAsia="华文细黑"/>
          <w:sz w:val="24"/>
        </w:rPr>
        <w:t>在审核补传流水的详细信息后，</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点击审核通过将流水补传订单状态标记为审核通过，点击审核拒绝（必填备注）将流水补传订单状态标记为审核不通过。</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需要服务商在H5端重新提交。</w:t>
      </w:r>
    </w:p>
    <w:p>
      <w:pPr>
        <w:pStyle w:val="24"/>
        <w:numPr>
          <w:numId w:val="0"/>
        </w:numPr>
        <w:rPr>
          <w:rFonts w:ascii="华文细黑" w:hAnsi="华文细黑" w:eastAsia="华文细黑"/>
          <w:sz w:val="24"/>
        </w:rPr>
      </w:pP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49" w:name="_Toc23322"/>
      <w:r>
        <w:rPr>
          <w:rFonts w:hint="eastAsia" w:ascii="华文细黑" w:hAnsi="华文细黑" w:eastAsia="华文细黑" w:cs="宋体"/>
          <w:color w:val="2F5597" w:themeColor="accent1" w:themeShade="BF"/>
          <w:sz w:val="28"/>
          <w:szCs w:val="28"/>
        </w:rPr>
        <w:t>企业管理</w:t>
      </w:r>
      <w:bookmarkEnd w:id="49"/>
    </w:p>
    <w:p>
      <w:pPr>
        <w:pStyle w:val="24"/>
        <w:numPr>
          <w:ilvl w:val="0"/>
          <w:numId w:val="28"/>
        </w:numPr>
        <w:rPr>
          <w:rFonts w:ascii="华文细黑" w:hAnsi="华文细黑" w:eastAsia="华文细黑"/>
          <w:sz w:val="24"/>
        </w:rPr>
      </w:pPr>
      <w:r>
        <w:rPr>
          <w:rFonts w:hint="eastAsia" w:ascii="华文细黑" w:hAnsi="华文细黑" w:eastAsia="华文细黑"/>
          <w:sz w:val="24"/>
          <w:lang w:val="en-US" w:eastAsia="zh-CN"/>
        </w:rPr>
        <w:t>OEM机构管理员/运营主管打开“订单管理-企业开票”，可以查看OEM机构下所有的企业开票订单。</w:t>
      </w:r>
    </w:p>
    <w:p>
      <w:pPr>
        <w:pStyle w:val="24"/>
        <w:numPr>
          <w:ilvl w:val="0"/>
          <w:numId w:val="28"/>
        </w:numPr>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sz w:val="24"/>
          <w:lang w:val="en-US" w:eastAsia="zh-CN"/>
        </w:rPr>
        <w:t>OEM客户经理/市场经理在本页面只能看到归属自己账号的服务商的订单数据。</w:t>
      </w:r>
    </w:p>
    <w:p>
      <w:pPr>
        <w:pStyle w:val="24"/>
        <w:ind w:left="709" w:firstLine="0" w:firstLineChars="0"/>
        <w:rPr>
          <w:rFonts w:ascii="华文细黑" w:hAnsi="华文细黑" w:eastAsia="华文细黑"/>
          <w:sz w:val="24"/>
        </w:rPr>
      </w:pPr>
      <w:r>
        <w:rPr>
          <w:rFonts w:ascii="华文细黑" w:hAnsi="华文细黑" w:eastAsia="华文细黑"/>
          <w:sz w:val="24"/>
        </w:rPr>
        <w:drawing>
          <wp:inline distT="0" distB="0" distL="0" distR="0">
            <wp:extent cx="7759700" cy="43700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7767811" cy="4374940"/>
                    </a:xfrm>
                    <a:prstGeom prst="rect">
                      <a:avLst/>
                    </a:prstGeom>
                  </pic:spPr>
                </pic:pic>
              </a:graphicData>
            </a:graphic>
          </wp:inline>
        </w:drawing>
      </w:r>
    </w:p>
    <w:p>
      <w:pPr>
        <w:pStyle w:val="24"/>
        <w:numPr>
          <w:ilvl w:val="0"/>
          <w:numId w:val="28"/>
        </w:numPr>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b/>
          <w:bCs/>
          <w:sz w:val="24"/>
        </w:rPr>
        <w:t>OEM运营</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对已经注册的个体户，可以在后台对其进行管理。可进行的管理操作有：</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①</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、冻结/解冻 （冻结会造成企业无法开票，但是不影响其他操作以及正在开票的订单）</w:t>
      </w:r>
      <w:r>
        <w:rPr>
          <w:rFonts w:ascii="华文细黑" w:hAnsi="华文细黑" w:eastAsia="华文细黑"/>
          <w:color w:val="404040" w:themeColor="text1" w:themeTint="BF"/>
          <w:sz w:val="24"/>
          <w14:textFill>
            <w14:solidFill>
              <w14:schemeClr w14:val="tx1">
                <w14:lumMod w14:val="75000"/>
                <w14:lumOff w14:val="25000"/>
              </w14:schemeClr>
            </w14:solidFill>
          </w14:textFill>
        </w:rPr>
        <w:t xml:space="preserve">  </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②</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 xml:space="preserve">、编辑修改部分详情内容（详见界面） </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③</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、管理证件</w:t>
      </w:r>
      <w:r>
        <w:rPr>
          <w:rFonts w:hint="eastAsia" w:ascii="华文细黑" w:hAnsi="华文细黑" w:eastAsia="华文细黑"/>
          <w:color w:val="404040" w:themeColor="text1" w:themeTint="BF"/>
          <w:sz w:val="24"/>
          <w:lang w:eastAsia="zh-CN"/>
          <w14:textFill>
            <w14:solidFill>
              <w14:schemeClr w14:val="tx1">
                <w14:lumMod w14:val="75000"/>
                <w14:lumOff w14:val="25000"/>
              </w14:schemeClr>
            </w14:solidFill>
          </w14:textFill>
        </w:rPr>
        <w:t>（</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变更个体户证件的当前归属地</w:t>
      </w:r>
      <w:r>
        <w:rPr>
          <w:rFonts w:hint="eastAsia" w:ascii="华文细黑" w:hAnsi="华文细黑" w:eastAsia="华文细黑"/>
          <w:color w:val="404040" w:themeColor="text1" w:themeTint="BF"/>
          <w:sz w:val="24"/>
          <w:lang w:eastAsia="zh-CN"/>
          <w14:textFill>
            <w14:solidFill>
              <w14:schemeClr w14:val="tx1">
                <w14:lumMod w14:val="75000"/>
                <w14:lumOff w14:val="25000"/>
              </w14:schemeClr>
            </w14:solidFill>
          </w14:textFill>
        </w:rPr>
        <w:t>）</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 xml:space="preserve">。 </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④</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、注销。</w:t>
      </w:r>
    </w:p>
    <w:p>
      <w:pPr>
        <w:pStyle w:val="24"/>
        <w:ind w:left="709" w:firstLine="0" w:firstLineChars="0"/>
        <w:rPr>
          <w:rFonts w:ascii="华文细黑" w:hAnsi="华文细黑" w:eastAsia="华文细黑"/>
          <w:sz w:val="24"/>
        </w:rPr>
      </w:pPr>
    </w:p>
    <w:p>
      <w:pPr>
        <w:pStyle w:val="24"/>
        <w:numPr>
          <w:ilvl w:val="0"/>
          <w:numId w:val="29"/>
        </w:numPr>
        <w:ind w:left="709" w:hanging="142"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可编辑详情如下：</w:t>
      </w:r>
    </w:p>
    <w:p>
      <w:pPr>
        <w:pStyle w:val="24"/>
        <w:ind w:left="709" w:firstLine="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ascii="华文细黑" w:hAnsi="华文细黑" w:eastAsia="华文细黑"/>
          <w:sz w:val="24"/>
        </w:rPr>
        <w:drawing>
          <wp:inline distT="0" distB="0" distL="0" distR="0">
            <wp:extent cx="7771765" cy="3543300"/>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7790358" cy="3551644"/>
                    </a:xfrm>
                    <a:prstGeom prst="rect">
                      <a:avLst/>
                    </a:prstGeom>
                  </pic:spPr>
                </pic:pic>
              </a:graphicData>
            </a:graphic>
          </wp:inline>
        </w:drawing>
      </w:r>
    </w:p>
    <w:p>
      <w:pPr>
        <w:pStyle w:val="24"/>
        <w:numPr>
          <w:ilvl w:val="0"/>
          <w:numId w:val="29"/>
        </w:numPr>
        <w:ind w:left="709" w:hanging="142"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证件管理界面如下：</w:t>
      </w:r>
    </w:p>
    <w:p>
      <w:pPr>
        <w:pStyle w:val="24"/>
        <w:ind w:left="709" w:firstLine="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ascii="华文细黑" w:hAnsi="华文细黑" w:eastAsia="华文细黑"/>
          <w:sz w:val="24"/>
        </w:rPr>
        <w:drawing>
          <wp:inline distT="0" distB="0" distL="0" distR="0">
            <wp:extent cx="7747000" cy="1110615"/>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7787227" cy="1116782"/>
                    </a:xfrm>
                    <a:prstGeom prst="rect">
                      <a:avLst/>
                    </a:prstGeom>
                  </pic:spPr>
                </pic:pic>
              </a:graphicData>
            </a:graphic>
          </wp:inline>
        </w:drawing>
      </w:r>
    </w:p>
    <w:p>
      <w:pPr>
        <w:pStyle w:val="24"/>
        <w:ind w:left="709" w:firstLine="480"/>
        <w:jc w:val="center"/>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ascii="华文细黑" w:hAnsi="华文细黑" w:eastAsia="华文细黑"/>
          <w:sz w:val="24"/>
        </w:rPr>
        <w:drawing>
          <wp:inline distT="0" distB="0" distL="0" distR="0">
            <wp:extent cx="5226050" cy="2320925"/>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4"/>
                    <a:stretch>
                      <a:fillRect/>
                    </a:stretch>
                  </pic:blipFill>
                  <pic:spPr>
                    <a:xfrm>
                      <a:off x="0" y="0"/>
                      <a:ext cx="5268261" cy="2340022"/>
                    </a:xfrm>
                    <a:prstGeom prst="rect">
                      <a:avLst/>
                    </a:prstGeom>
                  </pic:spPr>
                </pic:pic>
              </a:graphicData>
            </a:graphic>
          </wp:inline>
        </w:drawing>
      </w:r>
    </w:p>
    <w:p>
      <w:pPr>
        <w:pStyle w:val="24"/>
        <w:numPr>
          <w:ilvl w:val="0"/>
          <w:numId w:val="29"/>
        </w:numPr>
        <w:ind w:left="851" w:hanging="284"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OEM运营点击“注销”则可以对个体户企业进行注销操作，上传注销凭证即可完成注销。</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系统直接生成一个已完成状态的注销订单。</w:t>
      </w:r>
    </w:p>
    <w:p>
      <w:pPr>
        <w:pStyle w:val="24"/>
        <w:ind w:left="851" w:firstLine="0" w:firstLineChars="0"/>
        <w:jc w:val="cente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pPr>
      <w:r>
        <w:drawing>
          <wp:inline distT="0" distB="0" distL="0" distR="0">
            <wp:extent cx="7181850" cy="3067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7217904" cy="3082864"/>
                    </a:xfrm>
                    <a:prstGeom prst="rect">
                      <a:avLst/>
                    </a:prstGeom>
                  </pic:spPr>
                </pic:pic>
              </a:graphicData>
            </a:graphic>
          </wp:inline>
        </w:drawing>
      </w: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50" w:name="_服务商政策管理"/>
      <w:bookmarkEnd w:id="50"/>
      <w:bookmarkStart w:id="51" w:name="_Toc26011"/>
      <w:r>
        <w:rPr>
          <w:rFonts w:hint="eastAsia" w:ascii="华文细黑" w:hAnsi="华文细黑" w:eastAsia="华文细黑" w:cs="宋体"/>
          <w:color w:val="2F5597" w:themeColor="accent1" w:themeShade="BF"/>
          <w:sz w:val="28"/>
          <w:szCs w:val="28"/>
        </w:rPr>
        <w:t>申请单管理</w:t>
      </w:r>
      <w:bookmarkEnd w:id="51"/>
    </w:p>
    <w:p>
      <w:pPr>
        <w:pStyle w:val="24"/>
        <w:numPr>
          <w:ilvl w:val="0"/>
          <w:numId w:val="30"/>
        </w:numPr>
        <w:ind w:left="567"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OEM</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管理员/</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运营</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主管</w:t>
      </w: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可在申请单列表对服务商新增、服务商修改、政策新增、政策修改等系统订单进行审核</w:t>
      </w: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操作，只有审核通过后申请内容在系统中才会生效</w:t>
      </w:r>
    </w:p>
    <w:p>
      <w:pPr>
        <w:ind w:left="567"/>
      </w:pPr>
      <w:r>
        <w:drawing>
          <wp:inline distT="0" distB="0" distL="0" distR="0">
            <wp:extent cx="7632700" cy="4298315"/>
            <wp:effectExtent l="0" t="0" r="635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6"/>
                    <a:stretch>
                      <a:fillRect/>
                    </a:stretch>
                  </pic:blipFill>
                  <pic:spPr>
                    <a:xfrm>
                      <a:off x="0" y="0"/>
                      <a:ext cx="7645249" cy="4305912"/>
                    </a:xfrm>
                    <a:prstGeom prst="rect">
                      <a:avLst/>
                    </a:prstGeom>
                  </pic:spPr>
                </pic:pic>
              </a:graphicData>
            </a:graphic>
          </wp:inline>
        </w:drawing>
      </w:r>
      <w:r>
        <w:t xml:space="preserve"> </w:t>
      </w:r>
      <w:r>
        <w:drawing>
          <wp:inline distT="0" distB="0" distL="0" distR="0">
            <wp:extent cx="4755515" cy="183515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7"/>
                    <a:stretch>
                      <a:fillRect/>
                    </a:stretch>
                  </pic:blipFill>
                  <pic:spPr>
                    <a:xfrm>
                      <a:off x="0" y="0"/>
                      <a:ext cx="4783028" cy="1845819"/>
                    </a:xfrm>
                    <a:prstGeom prst="rect">
                      <a:avLst/>
                    </a:prstGeom>
                  </pic:spPr>
                </pic:pic>
              </a:graphicData>
            </a:graphic>
          </wp:inline>
        </w:drawing>
      </w:r>
    </w:p>
    <w:p>
      <w:pPr>
        <w:ind w:left="567"/>
      </w:pPr>
      <w:r>
        <w:rPr>
          <w:rFonts w:hint="eastAsia"/>
        </w:rPr>
        <w:t>（通过未审核必须要填写审核意见，审核不通过当前订单状态会标记为审核不通过）</w:t>
      </w:r>
    </w:p>
    <w:p>
      <w:pPr>
        <w:pStyle w:val="24"/>
        <w:numPr>
          <w:ilvl w:val="0"/>
          <w:numId w:val="31"/>
        </w:numPr>
        <w:ind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服务商新增：</w:t>
      </w:r>
    </w:p>
    <w:p>
      <w:pPr>
        <w:pStyle w:val="24"/>
        <w:ind w:left="1647" w:hanging="108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drawing>
          <wp:inline distT="0" distB="0" distL="0" distR="0">
            <wp:extent cx="7931150" cy="2838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tretch>
                      <a:fillRect/>
                    </a:stretch>
                  </pic:blipFill>
                  <pic:spPr>
                    <a:xfrm>
                      <a:off x="0" y="0"/>
                      <a:ext cx="7942862" cy="2842613"/>
                    </a:xfrm>
                    <a:prstGeom prst="rect">
                      <a:avLst/>
                    </a:prstGeom>
                  </pic:spPr>
                </pic:pic>
              </a:graphicData>
            </a:graphic>
          </wp:inline>
        </w:drawing>
      </w:r>
    </w:p>
    <w:p>
      <w:pPr>
        <w:pStyle w:val="24"/>
        <w:numPr>
          <w:ilvl w:val="0"/>
          <w:numId w:val="31"/>
        </w:numPr>
        <w:ind w:hanging="108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服务商修改：</w:t>
      </w:r>
    </w:p>
    <w:p>
      <w:pPr>
        <w:pStyle w:val="24"/>
        <w:ind w:left="426" w:firstLine="140" w:firstLineChars="67"/>
        <w:rPr>
          <w:rFonts w:ascii="华文细黑" w:hAnsi="华文细黑" w:eastAsia="华文细黑"/>
          <w:color w:val="404040" w:themeColor="text1" w:themeTint="BF"/>
          <w:sz w:val="24"/>
          <w14:textFill>
            <w14:solidFill>
              <w14:schemeClr w14:val="tx1">
                <w14:lumMod w14:val="75000"/>
                <w14:lumOff w14:val="25000"/>
              </w14:schemeClr>
            </w14:solidFill>
          </w14:textFill>
        </w:rPr>
      </w:pPr>
      <w:r>
        <w:drawing>
          <wp:inline distT="0" distB="0" distL="0" distR="0">
            <wp:extent cx="7931785" cy="2819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9"/>
                    <a:stretch>
                      <a:fillRect/>
                    </a:stretch>
                  </pic:blipFill>
                  <pic:spPr>
                    <a:xfrm>
                      <a:off x="0" y="0"/>
                      <a:ext cx="7973117" cy="2834009"/>
                    </a:xfrm>
                    <a:prstGeom prst="rect">
                      <a:avLst/>
                    </a:prstGeom>
                  </pic:spPr>
                </pic:pic>
              </a:graphicData>
            </a:graphic>
          </wp:inline>
        </w:drawing>
      </w:r>
    </w:p>
    <w:p>
      <w:pPr>
        <w:pStyle w:val="24"/>
        <w:numPr>
          <w:ilvl w:val="0"/>
          <w:numId w:val="31"/>
        </w:numPr>
        <w:ind w:hanging="108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政策新增：</w:t>
      </w:r>
    </w:p>
    <w:p>
      <w:pPr>
        <w:ind w:left="567"/>
        <w:rPr>
          <w:rFonts w:ascii="华文细黑" w:hAnsi="华文细黑" w:eastAsia="华文细黑"/>
          <w:color w:val="404040" w:themeColor="text1" w:themeTint="BF"/>
          <w:sz w:val="24"/>
          <w14:textFill>
            <w14:solidFill>
              <w14:schemeClr w14:val="tx1">
                <w14:lumMod w14:val="75000"/>
                <w14:lumOff w14:val="25000"/>
              </w14:schemeClr>
            </w14:solidFill>
          </w14:textFill>
        </w:rPr>
      </w:pPr>
      <w:r>
        <w:drawing>
          <wp:inline distT="0" distB="0" distL="0" distR="0">
            <wp:extent cx="7899400" cy="3255010"/>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7909794" cy="3259703"/>
                    </a:xfrm>
                    <a:prstGeom prst="rect">
                      <a:avLst/>
                    </a:prstGeom>
                  </pic:spPr>
                </pic:pic>
              </a:graphicData>
            </a:graphic>
          </wp:inline>
        </w:drawing>
      </w:r>
    </w:p>
    <w:p>
      <w:pPr>
        <w:pStyle w:val="24"/>
        <w:numPr>
          <w:ilvl w:val="0"/>
          <w:numId w:val="31"/>
        </w:numPr>
        <w:ind w:hanging="1080" w:firstLineChars="0"/>
        <w:rPr>
          <w:rFonts w:ascii="华文细黑" w:hAnsi="华文细黑" w:eastAsia="华文细黑"/>
          <w:color w:val="404040" w:themeColor="text1" w:themeTint="BF"/>
          <w:sz w:val="24"/>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14:textFill>
            <w14:solidFill>
              <w14:schemeClr w14:val="tx1">
                <w14:lumMod w14:val="75000"/>
                <w14:lumOff w14:val="25000"/>
              </w14:schemeClr>
            </w14:solidFill>
          </w14:textFill>
        </w:rPr>
        <w:t>政策修改：</w:t>
      </w:r>
    </w:p>
    <w:p>
      <w:pPr>
        <w:ind w:left="567"/>
        <w:rPr>
          <w:rFonts w:ascii="华文细黑" w:hAnsi="华文细黑" w:eastAsia="华文细黑"/>
          <w:color w:val="404040" w:themeColor="text1" w:themeTint="BF"/>
          <w:sz w:val="24"/>
          <w14:textFill>
            <w14:solidFill>
              <w14:schemeClr w14:val="tx1">
                <w14:lumMod w14:val="75000"/>
                <w14:lumOff w14:val="25000"/>
              </w14:schemeClr>
            </w14:solidFill>
          </w14:textFill>
        </w:rPr>
      </w:pPr>
      <w:r>
        <w:drawing>
          <wp:inline distT="0" distB="0" distL="0" distR="0">
            <wp:extent cx="7937500" cy="450088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7944669" cy="4505407"/>
                    </a:xfrm>
                    <a:prstGeom prst="rect">
                      <a:avLst/>
                    </a:prstGeom>
                  </pic:spPr>
                </pic:pic>
              </a:graphicData>
            </a:graphic>
          </wp:inline>
        </w:drawing>
      </w:r>
    </w:p>
    <w:p>
      <w:pPr>
        <w:ind w:left="567"/>
        <w:rPr>
          <w:rFonts w:ascii="华文细黑" w:hAnsi="华文细黑" w:eastAsia="华文细黑"/>
          <w:color w:val="404040" w:themeColor="text1" w:themeTint="BF"/>
          <w:sz w:val="24"/>
          <w14:textFill>
            <w14:solidFill>
              <w14:schemeClr w14:val="tx1">
                <w14:lumMod w14:val="75000"/>
                <w14:lumOff w14:val="25000"/>
              </w14:schemeClr>
            </w14:solidFill>
          </w14:textFill>
        </w:rPr>
      </w:pPr>
    </w:p>
    <w:p>
      <w:pPr>
        <w:rPr>
          <w:rFonts w:ascii="华文细黑" w:hAnsi="华文细黑" w:eastAsia="华文细黑"/>
          <w:color w:val="404040" w:themeColor="text1" w:themeTint="BF"/>
          <w:sz w:val="24"/>
          <w14:textFill>
            <w14:solidFill>
              <w14:schemeClr w14:val="tx1">
                <w14:lumMod w14:val="75000"/>
                <w14:lumOff w14:val="25000"/>
              </w14:schemeClr>
            </w14:solidFill>
          </w14:textFill>
        </w:rPr>
      </w:pPr>
    </w:p>
    <w:bookmarkEnd w:id="1"/>
    <w:p>
      <w:pPr>
        <w:rPr>
          <w:rFonts w:ascii="华文细黑" w:hAnsi="华文细黑" w:eastAsia="华文细黑"/>
          <w:color w:val="404040" w:themeColor="text1" w:themeTint="BF"/>
          <w:sz w:val="24"/>
          <w14:textFill>
            <w14:solidFill>
              <w14:schemeClr w14:val="tx1">
                <w14:lumMod w14:val="75000"/>
                <w14:lumOff w14:val="25000"/>
              </w14:schemeClr>
            </w14:solidFill>
          </w14:textFill>
        </w:rPr>
      </w:pPr>
    </w:p>
    <w:p>
      <w:pPr>
        <w:rPr>
          <w:rFonts w:ascii="华文细黑" w:hAnsi="华文细黑" w:eastAsia="华文细黑"/>
          <w:sz w:val="24"/>
        </w:rPr>
      </w:pPr>
    </w:p>
    <w:sectPr>
      <w:headerReference r:id="rId5" w:type="default"/>
      <w:footerReference r:id="rId6" w:type="default"/>
      <w:pgSz w:w="14570" w:h="20636"/>
      <w:pgMar w:top="720" w:right="720" w:bottom="720" w:left="720" w:header="851" w:footer="992" w:gutter="0"/>
      <w:pgNumType w:start="1" w:chapStyle="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C23A29"/>
    <w:multiLevelType w:val="singleLevel"/>
    <w:tmpl w:val="9CC23A29"/>
    <w:lvl w:ilvl="0" w:tentative="0">
      <w:start w:val="1"/>
      <w:numFmt w:val="decimal"/>
      <w:suff w:val="space"/>
      <w:lvlText w:val="%1."/>
      <w:lvlJc w:val="left"/>
    </w:lvl>
  </w:abstractNum>
  <w:abstractNum w:abstractNumId="1">
    <w:nsid w:val="9D7722E5"/>
    <w:multiLevelType w:val="singleLevel"/>
    <w:tmpl w:val="9D7722E5"/>
    <w:lvl w:ilvl="0" w:tentative="0">
      <w:start w:val="1"/>
      <w:numFmt w:val="decimal"/>
      <w:suff w:val="nothing"/>
      <w:lvlText w:val="%1、"/>
      <w:lvlJc w:val="left"/>
    </w:lvl>
  </w:abstractNum>
  <w:abstractNum w:abstractNumId="2">
    <w:nsid w:val="A3B468B0"/>
    <w:multiLevelType w:val="singleLevel"/>
    <w:tmpl w:val="A3B468B0"/>
    <w:lvl w:ilvl="0" w:tentative="0">
      <w:start w:val="1"/>
      <w:numFmt w:val="decimal"/>
      <w:suff w:val="space"/>
      <w:lvlText w:val="%1."/>
      <w:lvlJc w:val="left"/>
    </w:lvl>
  </w:abstractNum>
  <w:abstractNum w:abstractNumId="3">
    <w:nsid w:val="ABA71541"/>
    <w:multiLevelType w:val="singleLevel"/>
    <w:tmpl w:val="ABA71541"/>
    <w:lvl w:ilvl="0" w:tentative="0">
      <w:start w:val="3"/>
      <w:numFmt w:val="decimal"/>
      <w:suff w:val="nothing"/>
      <w:lvlText w:val="%1、"/>
      <w:lvlJc w:val="left"/>
    </w:lvl>
  </w:abstractNum>
  <w:abstractNum w:abstractNumId="4">
    <w:nsid w:val="B720754C"/>
    <w:multiLevelType w:val="singleLevel"/>
    <w:tmpl w:val="B720754C"/>
    <w:lvl w:ilvl="0" w:tentative="0">
      <w:start w:val="1"/>
      <w:numFmt w:val="decimal"/>
      <w:suff w:val="space"/>
      <w:lvlText w:val="%1."/>
      <w:lvlJc w:val="left"/>
    </w:lvl>
  </w:abstractNum>
  <w:abstractNum w:abstractNumId="5">
    <w:nsid w:val="C8B28927"/>
    <w:multiLevelType w:val="singleLevel"/>
    <w:tmpl w:val="C8B28927"/>
    <w:lvl w:ilvl="0" w:tentative="0">
      <w:start w:val="1"/>
      <w:numFmt w:val="decimal"/>
      <w:suff w:val="space"/>
      <w:lvlText w:val="%1."/>
      <w:lvlJc w:val="left"/>
    </w:lvl>
  </w:abstractNum>
  <w:abstractNum w:abstractNumId="6">
    <w:nsid w:val="DC98DC5E"/>
    <w:multiLevelType w:val="singleLevel"/>
    <w:tmpl w:val="DC98DC5E"/>
    <w:lvl w:ilvl="0" w:tentative="0">
      <w:start w:val="1"/>
      <w:numFmt w:val="decimal"/>
      <w:suff w:val="space"/>
      <w:lvlText w:val="%1."/>
      <w:lvlJc w:val="left"/>
    </w:lvl>
  </w:abstractNum>
  <w:abstractNum w:abstractNumId="7">
    <w:nsid w:val="DF2E9CBC"/>
    <w:multiLevelType w:val="singleLevel"/>
    <w:tmpl w:val="DF2E9CBC"/>
    <w:lvl w:ilvl="0" w:tentative="0">
      <w:start w:val="1"/>
      <w:numFmt w:val="decimal"/>
      <w:suff w:val="space"/>
      <w:lvlText w:val="%1."/>
      <w:lvlJc w:val="left"/>
    </w:lvl>
  </w:abstractNum>
  <w:abstractNum w:abstractNumId="8">
    <w:nsid w:val="E277EDB4"/>
    <w:multiLevelType w:val="singleLevel"/>
    <w:tmpl w:val="E277EDB4"/>
    <w:lvl w:ilvl="0" w:tentative="0">
      <w:start w:val="1"/>
      <w:numFmt w:val="decimal"/>
      <w:suff w:val="space"/>
      <w:lvlText w:val="%1."/>
      <w:lvlJc w:val="left"/>
    </w:lvl>
  </w:abstractNum>
  <w:abstractNum w:abstractNumId="9">
    <w:nsid w:val="E832EF6D"/>
    <w:multiLevelType w:val="singleLevel"/>
    <w:tmpl w:val="E832EF6D"/>
    <w:lvl w:ilvl="0" w:tentative="0">
      <w:start w:val="1"/>
      <w:numFmt w:val="decimal"/>
      <w:suff w:val="space"/>
      <w:lvlText w:val="%1."/>
      <w:lvlJc w:val="left"/>
    </w:lvl>
  </w:abstractNum>
  <w:abstractNum w:abstractNumId="10">
    <w:nsid w:val="F14ACB74"/>
    <w:multiLevelType w:val="singleLevel"/>
    <w:tmpl w:val="F14ACB74"/>
    <w:lvl w:ilvl="0" w:tentative="0">
      <w:start w:val="1"/>
      <w:numFmt w:val="decimal"/>
      <w:suff w:val="space"/>
      <w:lvlText w:val="%1."/>
      <w:lvlJc w:val="left"/>
    </w:lvl>
  </w:abstractNum>
  <w:abstractNum w:abstractNumId="11">
    <w:nsid w:val="096E6BF7"/>
    <w:multiLevelType w:val="multilevel"/>
    <w:tmpl w:val="096E6BF7"/>
    <w:lvl w:ilvl="0" w:tentative="0">
      <w:start w:val="1"/>
      <w:numFmt w:val="decimal"/>
      <w:lvlText w:val="%1."/>
      <w:lvlJc w:val="left"/>
      <w:pPr>
        <w:ind w:left="1287" w:hanging="36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12">
    <w:nsid w:val="0C5E2C21"/>
    <w:multiLevelType w:val="singleLevel"/>
    <w:tmpl w:val="0C5E2C21"/>
    <w:lvl w:ilvl="0" w:tentative="0">
      <w:start w:val="1"/>
      <w:numFmt w:val="decimal"/>
      <w:suff w:val="nothing"/>
      <w:lvlText w:val="%1、"/>
      <w:lvlJc w:val="left"/>
    </w:lvl>
  </w:abstractNum>
  <w:abstractNum w:abstractNumId="13">
    <w:nsid w:val="15504977"/>
    <w:multiLevelType w:val="multilevel"/>
    <w:tmpl w:val="15504977"/>
    <w:lvl w:ilvl="0" w:tentative="0">
      <w:start w:val="1"/>
      <w:numFmt w:val="bullet"/>
      <w:lvlText w:val=""/>
      <w:lvlJc w:val="left"/>
      <w:pPr>
        <w:ind w:left="420" w:hanging="420"/>
      </w:pPr>
      <w:rPr>
        <w:rFonts w:hint="default" w:ascii="Wingdings" w:hAnsi="Wingdings" w:cs="Wingdings"/>
        <w:sz w:val="20"/>
        <w:szCs w:val="20"/>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14">
    <w:nsid w:val="200E01F3"/>
    <w:multiLevelType w:val="multilevel"/>
    <w:tmpl w:val="200E01F3"/>
    <w:lvl w:ilvl="0" w:tentative="0">
      <w:start w:val="1"/>
      <w:numFmt w:val="bullet"/>
      <w:pStyle w:val="2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2D299C76"/>
    <w:multiLevelType w:val="singleLevel"/>
    <w:tmpl w:val="2D299C76"/>
    <w:lvl w:ilvl="0" w:tentative="0">
      <w:start w:val="1"/>
      <w:numFmt w:val="decimal"/>
      <w:suff w:val="space"/>
      <w:lvlText w:val="%1."/>
      <w:lvlJc w:val="left"/>
    </w:lvl>
  </w:abstractNum>
  <w:abstractNum w:abstractNumId="16">
    <w:nsid w:val="32A21C79"/>
    <w:multiLevelType w:val="multilevel"/>
    <w:tmpl w:val="32A21C79"/>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4262"/>
        </w:tabs>
        <w:ind w:left="4262" w:hanging="576"/>
      </w:pPr>
      <w:rPr>
        <w:rFonts w:hint="eastAsia"/>
      </w:rPr>
    </w:lvl>
    <w:lvl w:ilvl="2" w:tentative="0">
      <w:start w:val="1"/>
      <w:numFmt w:val="decimal"/>
      <w:pStyle w:val="4"/>
      <w:lvlText w:val="%1.%2.%3"/>
      <w:lvlJc w:val="left"/>
      <w:pPr>
        <w:tabs>
          <w:tab w:val="left" w:pos="1146"/>
        </w:tabs>
        <w:ind w:left="1146" w:hanging="720"/>
      </w:pPr>
      <w:rPr>
        <w:rFonts w:hint="eastAsia"/>
        <w:sz w:val="24"/>
        <w:szCs w:val="24"/>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7">
    <w:nsid w:val="34162F13"/>
    <w:multiLevelType w:val="singleLevel"/>
    <w:tmpl w:val="34162F13"/>
    <w:lvl w:ilvl="0" w:tentative="0">
      <w:start w:val="1"/>
      <w:numFmt w:val="decimal"/>
      <w:suff w:val="space"/>
      <w:lvlText w:val="%1."/>
      <w:lvlJc w:val="left"/>
    </w:lvl>
  </w:abstractNum>
  <w:abstractNum w:abstractNumId="18">
    <w:nsid w:val="349A29BF"/>
    <w:multiLevelType w:val="multilevel"/>
    <w:tmpl w:val="349A29BF"/>
    <w:lvl w:ilvl="0" w:tentative="0">
      <w:start w:val="1"/>
      <w:numFmt w:val="decimal"/>
      <w:lvlText w:val="%1."/>
      <w:lvlJc w:val="left"/>
      <w:pPr>
        <w:ind w:left="927"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414E18B0"/>
    <w:multiLevelType w:val="multilevel"/>
    <w:tmpl w:val="414E18B0"/>
    <w:lvl w:ilvl="0" w:tentative="0">
      <w:start w:val="1"/>
      <w:numFmt w:val="decimal"/>
      <w:lvlText w:val="%1."/>
      <w:lvlJc w:val="left"/>
      <w:pPr>
        <w:ind w:left="927"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4A9A3FC0"/>
    <w:multiLevelType w:val="multilevel"/>
    <w:tmpl w:val="4A9A3FC0"/>
    <w:lvl w:ilvl="0" w:tentative="0">
      <w:start w:val="5"/>
      <w:numFmt w:val="bullet"/>
      <w:lvlText w:val="·"/>
      <w:lvlJc w:val="left"/>
      <w:pPr>
        <w:ind w:left="1647" w:hanging="360"/>
      </w:pPr>
      <w:rPr>
        <w:rFonts w:hint="eastAsia" w:ascii="华文细黑" w:hAnsi="华文细黑" w:eastAsia="华文细黑" w:cs="Times New Roman"/>
      </w:rPr>
    </w:lvl>
    <w:lvl w:ilvl="1" w:tentative="0">
      <w:start w:val="1"/>
      <w:numFmt w:val="bullet"/>
      <w:lvlText w:val=""/>
      <w:lvlJc w:val="left"/>
      <w:pPr>
        <w:ind w:left="2127" w:hanging="420"/>
      </w:pPr>
      <w:rPr>
        <w:rFonts w:hint="default" w:ascii="Wingdings" w:hAnsi="Wingdings"/>
      </w:rPr>
    </w:lvl>
    <w:lvl w:ilvl="2" w:tentative="0">
      <w:start w:val="1"/>
      <w:numFmt w:val="bullet"/>
      <w:lvlText w:val=""/>
      <w:lvlJc w:val="left"/>
      <w:pPr>
        <w:ind w:left="2547" w:hanging="420"/>
      </w:pPr>
      <w:rPr>
        <w:rFonts w:hint="default" w:ascii="Wingdings" w:hAnsi="Wingdings"/>
      </w:rPr>
    </w:lvl>
    <w:lvl w:ilvl="3" w:tentative="0">
      <w:start w:val="1"/>
      <w:numFmt w:val="bullet"/>
      <w:lvlText w:val=""/>
      <w:lvlJc w:val="left"/>
      <w:pPr>
        <w:ind w:left="2967" w:hanging="420"/>
      </w:pPr>
      <w:rPr>
        <w:rFonts w:hint="default" w:ascii="Wingdings" w:hAnsi="Wingdings"/>
      </w:rPr>
    </w:lvl>
    <w:lvl w:ilvl="4" w:tentative="0">
      <w:start w:val="1"/>
      <w:numFmt w:val="bullet"/>
      <w:lvlText w:val=""/>
      <w:lvlJc w:val="left"/>
      <w:pPr>
        <w:ind w:left="3387" w:hanging="420"/>
      </w:pPr>
      <w:rPr>
        <w:rFonts w:hint="default" w:ascii="Wingdings" w:hAnsi="Wingdings"/>
      </w:rPr>
    </w:lvl>
    <w:lvl w:ilvl="5" w:tentative="0">
      <w:start w:val="1"/>
      <w:numFmt w:val="bullet"/>
      <w:lvlText w:val=""/>
      <w:lvlJc w:val="left"/>
      <w:pPr>
        <w:ind w:left="3807" w:hanging="420"/>
      </w:pPr>
      <w:rPr>
        <w:rFonts w:hint="default" w:ascii="Wingdings" w:hAnsi="Wingdings"/>
      </w:rPr>
    </w:lvl>
    <w:lvl w:ilvl="6" w:tentative="0">
      <w:start w:val="1"/>
      <w:numFmt w:val="bullet"/>
      <w:lvlText w:val=""/>
      <w:lvlJc w:val="left"/>
      <w:pPr>
        <w:ind w:left="4227" w:hanging="420"/>
      </w:pPr>
      <w:rPr>
        <w:rFonts w:hint="default" w:ascii="Wingdings" w:hAnsi="Wingdings"/>
      </w:rPr>
    </w:lvl>
    <w:lvl w:ilvl="7" w:tentative="0">
      <w:start w:val="1"/>
      <w:numFmt w:val="bullet"/>
      <w:lvlText w:val=""/>
      <w:lvlJc w:val="left"/>
      <w:pPr>
        <w:ind w:left="4647" w:hanging="420"/>
      </w:pPr>
      <w:rPr>
        <w:rFonts w:hint="default" w:ascii="Wingdings" w:hAnsi="Wingdings"/>
      </w:rPr>
    </w:lvl>
    <w:lvl w:ilvl="8" w:tentative="0">
      <w:start w:val="1"/>
      <w:numFmt w:val="bullet"/>
      <w:lvlText w:val=""/>
      <w:lvlJc w:val="left"/>
      <w:pPr>
        <w:ind w:left="5067" w:hanging="420"/>
      </w:pPr>
      <w:rPr>
        <w:rFonts w:hint="default" w:ascii="Wingdings" w:hAnsi="Wingdings"/>
      </w:rPr>
    </w:lvl>
  </w:abstractNum>
  <w:abstractNum w:abstractNumId="21">
    <w:nsid w:val="517A0331"/>
    <w:multiLevelType w:val="singleLevel"/>
    <w:tmpl w:val="517A0331"/>
    <w:lvl w:ilvl="0" w:tentative="0">
      <w:start w:val="1"/>
      <w:numFmt w:val="decimal"/>
      <w:suff w:val="space"/>
      <w:lvlText w:val="%1."/>
      <w:lvlJc w:val="left"/>
    </w:lvl>
  </w:abstractNum>
  <w:abstractNum w:abstractNumId="22">
    <w:nsid w:val="6558340A"/>
    <w:multiLevelType w:val="multilevel"/>
    <w:tmpl w:val="6558340A"/>
    <w:lvl w:ilvl="0" w:tentative="0">
      <w:start w:val="1"/>
      <w:numFmt w:val="decimal"/>
      <w:lvlText w:val="%1."/>
      <w:lvlJc w:val="left"/>
      <w:pPr>
        <w:ind w:left="927" w:hanging="360"/>
      </w:pPr>
      <w:rPr>
        <w:rFonts w:hint="default"/>
        <w:color w:val="404040" w:themeColor="text1" w:themeTint="BF"/>
        <w14:textFill>
          <w14:solidFill>
            <w14:schemeClr w14:val="tx1">
              <w14:lumMod w14:val="75000"/>
              <w14:lumOff w14:val="25000"/>
            </w14:schemeClr>
          </w14:solidFill>
        </w14:textFill>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6E3A77CB"/>
    <w:multiLevelType w:val="multilevel"/>
    <w:tmpl w:val="6E3A77CB"/>
    <w:lvl w:ilvl="0" w:tentative="0">
      <w:start w:val="1"/>
      <w:numFmt w:val="decimal"/>
      <w:lvlText w:val="%1."/>
      <w:lvlJc w:val="left"/>
      <w:pPr>
        <w:ind w:left="927"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72CE816B"/>
    <w:multiLevelType w:val="singleLevel"/>
    <w:tmpl w:val="72CE816B"/>
    <w:lvl w:ilvl="0" w:tentative="0">
      <w:start w:val="1"/>
      <w:numFmt w:val="decimal"/>
      <w:suff w:val="space"/>
      <w:lvlText w:val="%1."/>
      <w:lvlJc w:val="left"/>
    </w:lvl>
  </w:abstractNum>
  <w:abstractNum w:abstractNumId="25">
    <w:nsid w:val="72D5A625"/>
    <w:multiLevelType w:val="singleLevel"/>
    <w:tmpl w:val="72D5A625"/>
    <w:lvl w:ilvl="0" w:tentative="0">
      <w:start w:val="1"/>
      <w:numFmt w:val="decimal"/>
      <w:suff w:val="space"/>
      <w:lvlText w:val="%1."/>
      <w:lvlJc w:val="left"/>
    </w:lvl>
  </w:abstractNum>
  <w:abstractNum w:abstractNumId="26">
    <w:nsid w:val="79D353C7"/>
    <w:multiLevelType w:val="multilevel"/>
    <w:tmpl w:val="79D353C7"/>
    <w:lvl w:ilvl="0" w:tentative="0">
      <w:start w:val="1"/>
      <w:numFmt w:val="decimal"/>
      <w:lvlText w:val="%1."/>
      <w:lvlJc w:val="left"/>
      <w:pPr>
        <w:ind w:left="1429" w:hanging="360"/>
      </w:pPr>
      <w:rPr>
        <w:rFonts w:hint="default"/>
      </w:rPr>
    </w:lvl>
    <w:lvl w:ilvl="1" w:tentative="0">
      <w:start w:val="1"/>
      <w:numFmt w:val="lowerLetter"/>
      <w:lvlText w:val="%2)"/>
      <w:lvlJc w:val="left"/>
      <w:pPr>
        <w:ind w:left="1909" w:hanging="420"/>
      </w:pPr>
    </w:lvl>
    <w:lvl w:ilvl="2" w:tentative="0">
      <w:start w:val="1"/>
      <w:numFmt w:val="lowerRoman"/>
      <w:lvlText w:val="%3."/>
      <w:lvlJc w:val="right"/>
      <w:pPr>
        <w:ind w:left="2329" w:hanging="420"/>
      </w:pPr>
    </w:lvl>
    <w:lvl w:ilvl="3" w:tentative="0">
      <w:start w:val="1"/>
      <w:numFmt w:val="decimal"/>
      <w:lvlText w:val="%4."/>
      <w:lvlJc w:val="left"/>
      <w:pPr>
        <w:ind w:left="2749" w:hanging="420"/>
      </w:pPr>
    </w:lvl>
    <w:lvl w:ilvl="4" w:tentative="0">
      <w:start w:val="1"/>
      <w:numFmt w:val="lowerLetter"/>
      <w:lvlText w:val="%5)"/>
      <w:lvlJc w:val="left"/>
      <w:pPr>
        <w:ind w:left="3169" w:hanging="420"/>
      </w:pPr>
    </w:lvl>
    <w:lvl w:ilvl="5" w:tentative="0">
      <w:start w:val="1"/>
      <w:numFmt w:val="lowerRoman"/>
      <w:lvlText w:val="%6."/>
      <w:lvlJc w:val="right"/>
      <w:pPr>
        <w:ind w:left="3589" w:hanging="420"/>
      </w:pPr>
    </w:lvl>
    <w:lvl w:ilvl="6" w:tentative="0">
      <w:start w:val="1"/>
      <w:numFmt w:val="decimal"/>
      <w:lvlText w:val="%7."/>
      <w:lvlJc w:val="left"/>
      <w:pPr>
        <w:ind w:left="4009" w:hanging="420"/>
      </w:pPr>
    </w:lvl>
    <w:lvl w:ilvl="7" w:tentative="0">
      <w:start w:val="1"/>
      <w:numFmt w:val="lowerLetter"/>
      <w:lvlText w:val="%8)"/>
      <w:lvlJc w:val="left"/>
      <w:pPr>
        <w:ind w:left="4429" w:hanging="420"/>
      </w:pPr>
    </w:lvl>
    <w:lvl w:ilvl="8" w:tentative="0">
      <w:start w:val="1"/>
      <w:numFmt w:val="lowerRoman"/>
      <w:lvlText w:val="%9."/>
      <w:lvlJc w:val="right"/>
      <w:pPr>
        <w:ind w:left="4849" w:hanging="420"/>
      </w:pPr>
    </w:lvl>
  </w:abstractNum>
  <w:abstractNum w:abstractNumId="27">
    <w:nsid w:val="7A16D439"/>
    <w:multiLevelType w:val="singleLevel"/>
    <w:tmpl w:val="7A16D439"/>
    <w:lvl w:ilvl="0" w:tentative="0">
      <w:start w:val="1"/>
      <w:numFmt w:val="decimal"/>
      <w:suff w:val="space"/>
      <w:lvlText w:val="%1."/>
      <w:lvlJc w:val="left"/>
    </w:lvl>
  </w:abstractNum>
  <w:abstractNum w:abstractNumId="28">
    <w:nsid w:val="7DE03CD9"/>
    <w:multiLevelType w:val="singleLevel"/>
    <w:tmpl w:val="7DE03CD9"/>
    <w:lvl w:ilvl="0" w:tentative="0">
      <w:start w:val="1"/>
      <w:numFmt w:val="decimal"/>
      <w:suff w:val="space"/>
      <w:lvlText w:val="%1."/>
      <w:lvlJc w:val="left"/>
    </w:lvl>
  </w:abstractNum>
  <w:abstractNum w:abstractNumId="29">
    <w:nsid w:val="7DEEB9A1"/>
    <w:multiLevelType w:val="singleLevel"/>
    <w:tmpl w:val="7DEEB9A1"/>
    <w:lvl w:ilvl="0" w:tentative="0">
      <w:start w:val="1"/>
      <w:numFmt w:val="decimal"/>
      <w:suff w:val="space"/>
      <w:lvlText w:val="%1."/>
      <w:lvlJc w:val="left"/>
    </w:lvl>
  </w:abstractNum>
  <w:abstractNum w:abstractNumId="30">
    <w:nsid w:val="7E154A32"/>
    <w:multiLevelType w:val="multilevel"/>
    <w:tmpl w:val="7E154A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6"/>
  </w:num>
  <w:num w:numId="2">
    <w:abstractNumId w:val="14"/>
  </w:num>
  <w:num w:numId="3">
    <w:abstractNumId w:val="13"/>
  </w:num>
  <w:num w:numId="4">
    <w:abstractNumId w:val="30"/>
  </w:num>
  <w:num w:numId="5">
    <w:abstractNumId w:val="19"/>
  </w:num>
  <w:num w:numId="6">
    <w:abstractNumId w:val="18"/>
  </w:num>
  <w:num w:numId="7">
    <w:abstractNumId w:val="3"/>
  </w:num>
  <w:num w:numId="8">
    <w:abstractNumId w:val="28"/>
  </w:num>
  <w:num w:numId="9">
    <w:abstractNumId w:val="2"/>
  </w:num>
  <w:num w:numId="10">
    <w:abstractNumId w:val="17"/>
  </w:num>
  <w:num w:numId="11">
    <w:abstractNumId w:val="9"/>
  </w:num>
  <w:num w:numId="12">
    <w:abstractNumId w:val="0"/>
  </w:num>
  <w:num w:numId="13">
    <w:abstractNumId w:val="29"/>
  </w:num>
  <w:num w:numId="14">
    <w:abstractNumId w:val="8"/>
  </w:num>
  <w:num w:numId="15">
    <w:abstractNumId w:val="21"/>
  </w:num>
  <w:num w:numId="16">
    <w:abstractNumId w:val="12"/>
  </w:num>
  <w:num w:numId="17">
    <w:abstractNumId w:val="1"/>
  </w:num>
  <w:num w:numId="18">
    <w:abstractNumId w:val="23"/>
  </w:num>
  <w:num w:numId="19">
    <w:abstractNumId w:val="10"/>
  </w:num>
  <w:num w:numId="20">
    <w:abstractNumId w:val="27"/>
  </w:num>
  <w:num w:numId="21">
    <w:abstractNumId w:val="7"/>
  </w:num>
  <w:num w:numId="22">
    <w:abstractNumId w:val="24"/>
  </w:num>
  <w:num w:numId="23">
    <w:abstractNumId w:val="4"/>
  </w:num>
  <w:num w:numId="24">
    <w:abstractNumId w:val="6"/>
  </w:num>
  <w:num w:numId="25">
    <w:abstractNumId w:val="25"/>
  </w:num>
  <w:num w:numId="26">
    <w:abstractNumId w:val="15"/>
  </w:num>
  <w:num w:numId="27">
    <w:abstractNumId w:val="22"/>
  </w:num>
  <w:num w:numId="28">
    <w:abstractNumId w:val="5"/>
  </w:num>
  <w:num w:numId="29">
    <w:abstractNumId w:val="11"/>
  </w:num>
  <w:num w:numId="30">
    <w:abstractNumId w:val="2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2NDgzMmNjYjRmNmI1ZTM3OWIzYThlYTRlNjZhZDgifQ=="/>
  </w:docVars>
  <w:rsids>
    <w:rsidRoot w:val="00655246"/>
    <w:rsid w:val="000021BE"/>
    <w:rsid w:val="00034A60"/>
    <w:rsid w:val="00045E8C"/>
    <w:rsid w:val="000D4B28"/>
    <w:rsid w:val="000F6794"/>
    <w:rsid w:val="001301FB"/>
    <w:rsid w:val="00132B54"/>
    <w:rsid w:val="00135C8B"/>
    <w:rsid w:val="00170803"/>
    <w:rsid w:val="001877BF"/>
    <w:rsid w:val="001E56B4"/>
    <w:rsid w:val="001F37B3"/>
    <w:rsid w:val="002514B4"/>
    <w:rsid w:val="00257D85"/>
    <w:rsid w:val="0026584D"/>
    <w:rsid w:val="002A5CAC"/>
    <w:rsid w:val="002B405F"/>
    <w:rsid w:val="003274E7"/>
    <w:rsid w:val="003471AB"/>
    <w:rsid w:val="00381B91"/>
    <w:rsid w:val="003951DE"/>
    <w:rsid w:val="003B0A92"/>
    <w:rsid w:val="004140D0"/>
    <w:rsid w:val="00414812"/>
    <w:rsid w:val="00420D4E"/>
    <w:rsid w:val="004255F0"/>
    <w:rsid w:val="00451CD6"/>
    <w:rsid w:val="00452057"/>
    <w:rsid w:val="0045721C"/>
    <w:rsid w:val="00461DCC"/>
    <w:rsid w:val="0046321B"/>
    <w:rsid w:val="00491AF3"/>
    <w:rsid w:val="004A1777"/>
    <w:rsid w:val="004E061C"/>
    <w:rsid w:val="00504FB8"/>
    <w:rsid w:val="005557E3"/>
    <w:rsid w:val="00571B06"/>
    <w:rsid w:val="00583722"/>
    <w:rsid w:val="00597675"/>
    <w:rsid w:val="005E29B9"/>
    <w:rsid w:val="005E67C3"/>
    <w:rsid w:val="005F1865"/>
    <w:rsid w:val="00605CF5"/>
    <w:rsid w:val="00626156"/>
    <w:rsid w:val="006471BD"/>
    <w:rsid w:val="00655246"/>
    <w:rsid w:val="006662EF"/>
    <w:rsid w:val="006708DF"/>
    <w:rsid w:val="006753D4"/>
    <w:rsid w:val="006769F0"/>
    <w:rsid w:val="00676E63"/>
    <w:rsid w:val="006949DB"/>
    <w:rsid w:val="006E49D8"/>
    <w:rsid w:val="006F2E1A"/>
    <w:rsid w:val="00715DF5"/>
    <w:rsid w:val="00780D36"/>
    <w:rsid w:val="007E543F"/>
    <w:rsid w:val="007F62B0"/>
    <w:rsid w:val="007F7964"/>
    <w:rsid w:val="00810786"/>
    <w:rsid w:val="00833B64"/>
    <w:rsid w:val="00841ECB"/>
    <w:rsid w:val="00845433"/>
    <w:rsid w:val="008474EE"/>
    <w:rsid w:val="008A0826"/>
    <w:rsid w:val="008B2CED"/>
    <w:rsid w:val="008B3992"/>
    <w:rsid w:val="008C773D"/>
    <w:rsid w:val="008E6E8C"/>
    <w:rsid w:val="00905C60"/>
    <w:rsid w:val="0092415A"/>
    <w:rsid w:val="00982BDA"/>
    <w:rsid w:val="009D27A0"/>
    <w:rsid w:val="009D7E72"/>
    <w:rsid w:val="009F74FC"/>
    <w:rsid w:val="00A033EF"/>
    <w:rsid w:val="00A129C9"/>
    <w:rsid w:val="00A75E18"/>
    <w:rsid w:val="00A85692"/>
    <w:rsid w:val="00A93216"/>
    <w:rsid w:val="00AB0B6E"/>
    <w:rsid w:val="00AB13F9"/>
    <w:rsid w:val="00AC0F4D"/>
    <w:rsid w:val="00AE2F37"/>
    <w:rsid w:val="00B03D52"/>
    <w:rsid w:val="00B114B6"/>
    <w:rsid w:val="00B40A11"/>
    <w:rsid w:val="00B40D4B"/>
    <w:rsid w:val="00B46EE0"/>
    <w:rsid w:val="00BA7DFF"/>
    <w:rsid w:val="00C45DE7"/>
    <w:rsid w:val="00CA59B7"/>
    <w:rsid w:val="00CB0DAB"/>
    <w:rsid w:val="00CC3FDD"/>
    <w:rsid w:val="00D422F0"/>
    <w:rsid w:val="00D464C8"/>
    <w:rsid w:val="00D72FA1"/>
    <w:rsid w:val="00DA2B32"/>
    <w:rsid w:val="00DE0783"/>
    <w:rsid w:val="00E00FE2"/>
    <w:rsid w:val="00E10995"/>
    <w:rsid w:val="00E52AFC"/>
    <w:rsid w:val="00E64583"/>
    <w:rsid w:val="00EB744C"/>
    <w:rsid w:val="00EB7716"/>
    <w:rsid w:val="00EC2A3E"/>
    <w:rsid w:val="00EE0B49"/>
    <w:rsid w:val="00F06B13"/>
    <w:rsid w:val="00F52017"/>
    <w:rsid w:val="00F66A80"/>
    <w:rsid w:val="00F80684"/>
    <w:rsid w:val="00FD7102"/>
    <w:rsid w:val="00FD79D8"/>
    <w:rsid w:val="08455E67"/>
    <w:rsid w:val="09843892"/>
    <w:rsid w:val="10A24627"/>
    <w:rsid w:val="13F86AC9"/>
    <w:rsid w:val="16C67180"/>
    <w:rsid w:val="16F557E4"/>
    <w:rsid w:val="17866628"/>
    <w:rsid w:val="185F35D5"/>
    <w:rsid w:val="1BB64FD8"/>
    <w:rsid w:val="1C2524A5"/>
    <w:rsid w:val="1CF64F85"/>
    <w:rsid w:val="220A0206"/>
    <w:rsid w:val="360B1E2F"/>
    <w:rsid w:val="3C684B3B"/>
    <w:rsid w:val="3D107B7D"/>
    <w:rsid w:val="44A018BC"/>
    <w:rsid w:val="48017EF6"/>
    <w:rsid w:val="49CC6D07"/>
    <w:rsid w:val="49D13818"/>
    <w:rsid w:val="4BDC3BFA"/>
    <w:rsid w:val="50413114"/>
    <w:rsid w:val="53A25729"/>
    <w:rsid w:val="608F27D2"/>
    <w:rsid w:val="62217950"/>
    <w:rsid w:val="62CD666F"/>
    <w:rsid w:val="67FC2807"/>
    <w:rsid w:val="6A934C37"/>
    <w:rsid w:val="702C461C"/>
    <w:rsid w:val="75DD76E0"/>
    <w:rsid w:val="765242BB"/>
    <w:rsid w:val="76AB5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9"/>
    <w:qFormat/>
    <w:uiPriority w:val="0"/>
    <w:pPr>
      <w:keepNext/>
      <w:keepLines/>
      <w:numPr>
        <w:ilvl w:val="1"/>
        <w:numId w:val="1"/>
      </w:numPr>
      <w:tabs>
        <w:tab w:val="left" w:pos="432"/>
        <w:tab w:val="left" w:pos="576"/>
      </w:tabs>
      <w:spacing w:before="260" w:after="260" w:line="416" w:lineRule="auto"/>
      <w:outlineLvl w:val="1"/>
    </w:pPr>
    <w:rPr>
      <w:rFonts w:ascii="Arial" w:hAnsi="Arial" w:eastAsia="黑体"/>
      <w:b/>
      <w:bCs/>
      <w:sz w:val="32"/>
      <w:szCs w:val="32"/>
    </w:rPr>
  </w:style>
  <w:style w:type="paragraph" w:styleId="4">
    <w:name w:val="heading 3"/>
    <w:basedOn w:val="1"/>
    <w:next w:val="1"/>
    <w:link w:val="20"/>
    <w:qFormat/>
    <w:uiPriority w:val="0"/>
    <w:pPr>
      <w:keepNext/>
      <w:keepLines/>
      <w:numPr>
        <w:ilvl w:val="2"/>
        <w:numId w:val="1"/>
      </w:numPr>
      <w:tabs>
        <w:tab w:val="left" w:pos="432"/>
        <w:tab w:val="left" w:pos="1145"/>
        <w:tab w:val="left" w:pos="4265"/>
        <w:tab w:val="clear" w:pos="1146"/>
      </w:tabs>
      <w:spacing w:before="260" w:after="260" w:line="416" w:lineRule="auto"/>
      <w:ind w:left="4265"/>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oc 3"/>
    <w:basedOn w:val="1"/>
    <w:next w:val="1"/>
    <w:qFormat/>
    <w:uiPriority w:val="39"/>
    <w:pPr>
      <w:ind w:left="420"/>
      <w:jc w:val="left"/>
    </w:pPr>
    <w:rPr>
      <w:i/>
      <w:iCs/>
    </w:rPr>
  </w:style>
  <w:style w:type="paragraph" w:styleId="6">
    <w:name w:val="footer"/>
    <w:basedOn w:val="1"/>
    <w:link w:val="17"/>
    <w:unhideWhenUsed/>
    <w:qFormat/>
    <w:uiPriority w:val="0"/>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spacing w:before="120" w:after="120"/>
      <w:jc w:val="left"/>
    </w:pPr>
    <w:rPr>
      <w:b/>
      <w:bCs/>
      <w:caps/>
    </w:rPr>
  </w:style>
  <w:style w:type="paragraph" w:styleId="9">
    <w:name w:val="toc 4"/>
    <w:basedOn w:val="1"/>
    <w:next w:val="1"/>
    <w:semiHidden/>
    <w:qFormat/>
    <w:uiPriority w:val="0"/>
    <w:pPr>
      <w:ind w:left="630"/>
      <w:jc w:val="left"/>
    </w:pPr>
    <w:rPr>
      <w:szCs w:val="21"/>
    </w:rPr>
  </w:style>
  <w:style w:type="paragraph" w:styleId="10">
    <w:name w:val="toc 2"/>
    <w:basedOn w:val="1"/>
    <w:next w:val="1"/>
    <w:qFormat/>
    <w:uiPriority w:val="39"/>
    <w:pPr>
      <w:ind w:left="210"/>
      <w:jc w:val="left"/>
    </w:pPr>
    <w:rPr>
      <w:smallCaps/>
    </w:rPr>
  </w:style>
  <w:style w:type="table" w:styleId="12">
    <w:name w:val="Table Grid"/>
    <w:basedOn w:val="11"/>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semiHidden/>
    <w:unhideWhenUsed/>
    <w:uiPriority w:val="99"/>
    <w:rPr>
      <w:color w:val="954F72" w:themeColor="followedHyperlink"/>
      <w:u w:val="single"/>
      <w14:textFill>
        <w14:solidFill>
          <w14:schemeClr w14:val="folHlink"/>
        </w14:solidFill>
      </w14:textFill>
    </w:rPr>
  </w:style>
  <w:style w:type="character" w:styleId="15">
    <w:name w:val="Hyperlink"/>
    <w:basedOn w:val="13"/>
    <w:unhideWhenUsed/>
    <w:uiPriority w:val="99"/>
    <w:rPr>
      <w:color w:val="0563C1" w:themeColor="hyperlink"/>
      <w:u w:val="single"/>
      <w14:textFill>
        <w14:solidFill>
          <w14:schemeClr w14:val="hlink"/>
        </w14:solidFill>
      </w14:textFill>
    </w:rPr>
  </w:style>
  <w:style w:type="character" w:customStyle="1" w:styleId="16">
    <w:name w:val="页眉 字符"/>
    <w:basedOn w:val="13"/>
    <w:link w:val="7"/>
    <w:uiPriority w:val="99"/>
    <w:rPr>
      <w:sz w:val="18"/>
      <w:szCs w:val="18"/>
    </w:rPr>
  </w:style>
  <w:style w:type="character" w:customStyle="1" w:styleId="17">
    <w:name w:val="页脚 字符"/>
    <w:basedOn w:val="13"/>
    <w:link w:val="6"/>
    <w:uiPriority w:val="99"/>
    <w:rPr>
      <w:sz w:val="18"/>
      <w:szCs w:val="18"/>
    </w:rPr>
  </w:style>
  <w:style w:type="character" w:customStyle="1" w:styleId="18">
    <w:name w:val="标题 1 字符"/>
    <w:basedOn w:val="13"/>
    <w:link w:val="2"/>
    <w:uiPriority w:val="0"/>
    <w:rPr>
      <w:rFonts w:ascii="Times New Roman" w:hAnsi="Times New Roman" w:eastAsia="宋体" w:cs="Times New Roman"/>
      <w:b/>
      <w:bCs/>
      <w:kern w:val="44"/>
      <w:sz w:val="44"/>
      <w:szCs w:val="44"/>
    </w:rPr>
  </w:style>
  <w:style w:type="character" w:customStyle="1" w:styleId="19">
    <w:name w:val="标题 2 字符"/>
    <w:basedOn w:val="13"/>
    <w:link w:val="3"/>
    <w:uiPriority w:val="0"/>
    <w:rPr>
      <w:rFonts w:ascii="Arial" w:hAnsi="Arial" w:eastAsia="黑体" w:cs="Times New Roman"/>
      <w:b/>
      <w:bCs/>
      <w:sz w:val="32"/>
      <w:szCs w:val="32"/>
    </w:rPr>
  </w:style>
  <w:style w:type="character" w:customStyle="1" w:styleId="20">
    <w:name w:val="标题 3 字符"/>
    <w:basedOn w:val="13"/>
    <w:link w:val="4"/>
    <w:uiPriority w:val="0"/>
    <w:rPr>
      <w:rFonts w:ascii="Times New Roman" w:hAnsi="Times New Roman" w:eastAsia="宋体" w:cs="Times New Roman"/>
      <w:b/>
      <w:bCs/>
      <w:sz w:val="32"/>
      <w:szCs w:val="32"/>
    </w:rPr>
  </w:style>
  <w:style w:type="paragraph" w:customStyle="1" w:styleId="21">
    <w:name w:val="封面摘要"/>
    <w:basedOn w:val="1"/>
    <w:qFormat/>
    <w:uiPriority w:val="0"/>
    <w:rPr>
      <w:szCs w:val="20"/>
    </w:rPr>
  </w:style>
  <w:style w:type="paragraph" w:customStyle="1" w:styleId="22">
    <w:name w:val="封面签名"/>
    <w:basedOn w:val="1"/>
    <w:qFormat/>
    <w:uiPriority w:val="0"/>
    <w:pPr>
      <w:framePr w:w="4680" w:h="2340" w:hSpace="180" w:wrap="around" w:vAnchor="text" w:hAnchor="text" w:x="2160" w:y="7176"/>
      <w:pBdr>
        <w:top w:val="single" w:color="000000" w:sz="6" w:space="7"/>
        <w:left w:val="single" w:color="000000" w:sz="6" w:space="7"/>
        <w:bottom w:val="single" w:color="000000" w:sz="6" w:space="7"/>
        <w:right w:val="single" w:color="000000" w:sz="6" w:space="7"/>
      </w:pBdr>
      <w:shd w:val="solid" w:color="FFFFFF" w:fill="FFFFFF"/>
    </w:pPr>
    <w:rPr>
      <w:sz w:val="28"/>
    </w:rPr>
  </w:style>
  <w:style w:type="paragraph" w:customStyle="1" w:styleId="23">
    <w:name w:val="一级列表"/>
    <w:basedOn w:val="1"/>
    <w:qFormat/>
    <w:uiPriority w:val="0"/>
    <w:pPr>
      <w:numPr>
        <w:ilvl w:val="0"/>
        <w:numId w:val="2"/>
      </w:numPr>
    </w:pPr>
  </w:style>
  <w:style w:type="paragraph" w:styleId="24">
    <w:name w:val="List Paragraph"/>
    <w:basedOn w:val="1"/>
    <w:qFormat/>
    <w:uiPriority w:val="99"/>
    <w:pPr>
      <w:ind w:firstLine="420" w:firstLineChars="200"/>
    </w:pPr>
  </w:style>
  <w:style w:type="paragraph" w:customStyle="1" w:styleId="25">
    <w:name w:val="TOC Heading"/>
    <w:basedOn w:val="2"/>
    <w:next w:val="1"/>
    <w:unhideWhenUsed/>
    <w:qFormat/>
    <w:uiPriority w:val="39"/>
    <w:pPr>
      <w:widowControl/>
      <w:numPr>
        <w:numId w:val="0"/>
      </w:numPr>
      <w:tabs>
        <w:tab w:val="clear" w:pos="432"/>
      </w:tabs>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6">
    <w:name w:val="Unresolved Mention"/>
    <w:basedOn w:val="1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4944</Words>
  <Characters>5317</Characters>
  <Lines>51</Lines>
  <Paragraphs>14</Paragraphs>
  <TotalTime>0</TotalTime>
  <ScaleCrop>false</ScaleCrop>
  <LinksUpToDate>false</LinksUpToDate>
  <CharactersWithSpaces>5894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2022-08-04T06:53:00Z</dcterms:created>
  <dc:creator>名 不</dc:creator>
  <cp:lastModifiedBy>东方</cp:lastModifiedBy>
  <dcterms:modified xsi:type="dcterms:W3CDTF">2022-08-09T12:10:01Z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56A19CC3D6E246ECBFC38CF717CF7C69</vt:lpwstr>
  </property>
</Properties>
</file>